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1B" w:rsidRDefault="00E77B1B" w:rsidP="00E77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E77B1B" w:rsidRDefault="00E77B1B" w:rsidP="00E77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 докладу главы Дзержинского района о достигнутых значениях</w:t>
      </w:r>
    </w:p>
    <w:p w:rsidR="00046B52" w:rsidRDefault="00E77B1B" w:rsidP="00DE4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показателей по оценке эффективности деятельности органов</w:t>
      </w:r>
      <w:r w:rsidR="00BC59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местного самоуправления за 2024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 и их планируемых значениях на 3-летний период</w:t>
      </w:r>
    </w:p>
    <w:p w:rsidR="00DE4C3C" w:rsidRPr="00DE4C3C" w:rsidRDefault="00DE4C3C" w:rsidP="00DE4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C59C8">
        <w:rPr>
          <w:rFonts w:ascii="Times New Roman CYR" w:hAnsi="Times New Roman CYR" w:cs="Times New Roman CYR"/>
          <w:sz w:val="28"/>
          <w:szCs w:val="28"/>
        </w:rPr>
        <w:t>Доклад главы</w:t>
      </w:r>
      <w:r>
        <w:rPr>
          <w:rFonts w:ascii="Times New Roman CYR" w:hAnsi="Times New Roman CYR" w:cs="Times New Roman CYR"/>
          <w:sz w:val="28"/>
          <w:szCs w:val="28"/>
        </w:rPr>
        <w:t xml:space="preserve"> Дзержинского района о результатах мониторинга эффективности деятельности органов местного самоуправления городских округов и муниципальных районов   по итогам 2024 года (далее –   доклад) подготовлен в целях исполнения: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Постановления Правительства Российской Федерации от 17.12.2012 №1317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 (далее – постановление Правительства РФ от 17.12.2012 №1317); 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Указа Губернатора Красноярского края от 13.04.2009 № 60-уг «Об оценке эффективности деятельности органов местного самоуправления городских округов и муниципальных районов Красноярского края».</w:t>
      </w:r>
    </w:p>
    <w:p w:rsidR="00046B52" w:rsidRPr="00BC59C8" w:rsidRDefault="00046B52" w:rsidP="005A36C0">
      <w:p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Доклад, утвержденный  главой района, размещен на официальном сайте администрации района с адресом в информационно-телекоммуникационной сети Интернет - </w:t>
      </w:r>
      <w:hyperlink r:id="rId6" w:history="1">
        <w:r>
          <w:rPr>
            <w:rFonts w:ascii="Times New Roman CYR" w:hAnsi="Times New Roman CYR" w:cs="Times New Roman CYR"/>
            <w:sz w:val="28"/>
            <w:szCs w:val="28"/>
          </w:rPr>
          <w:t>www.adm-dzergin.ru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(раздел «Отдел экономики и труда»).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48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Default="00046B52" w:rsidP="00DE4C3C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Экономическое развитие</w:t>
      </w:r>
    </w:p>
    <w:p w:rsidR="00DE4C3C" w:rsidRDefault="00DE4C3C" w:rsidP="00DE4C3C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BC59C8" w:rsidRDefault="00046B52" w:rsidP="005A36C0">
      <w:pPr>
        <w:autoSpaceDE w:val="0"/>
        <w:autoSpaceDN w:val="0"/>
        <w:adjustRightInd w:val="0"/>
        <w:spacing w:after="0" w:line="240" w:lineRule="auto"/>
        <w:ind w:right="48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BC59C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1. Число субъектов малого и среднего предпринимательства</w:t>
      </w:r>
    </w:p>
    <w:p w:rsidR="00046B52" w:rsidRDefault="005A36C0" w:rsidP="005A36C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По данным Единого реестра субъектов малого и среднего предпринимательства, ведение которого осуществляет Федеральная налоговая служба России, число субъектов малого и среднего предпринимательства (включая </w:t>
      </w:r>
      <w:proofErr w:type="spellStart"/>
      <w:r w:rsidR="00046B52">
        <w:rPr>
          <w:rFonts w:ascii="Times New Roman CYR" w:hAnsi="Times New Roman CYR" w:cs="Times New Roman CYR"/>
          <w:sz w:val="28"/>
          <w:szCs w:val="28"/>
        </w:rPr>
        <w:t>микропредприятия</w:t>
      </w:r>
      <w:proofErr w:type="spellEnd"/>
      <w:r w:rsidR="00046B52">
        <w:rPr>
          <w:rFonts w:ascii="Times New Roman CYR" w:hAnsi="Times New Roman CYR" w:cs="Times New Roman CYR"/>
          <w:sz w:val="28"/>
          <w:szCs w:val="28"/>
        </w:rPr>
        <w:t xml:space="preserve">) - юридических лиц и индивидуальных предпринимателей за 2024 год к уровню 2023 года уменьшилось на 6 единиц и составило 265 единиц (2023 год 271 единица). Количество малых предприятий и </w:t>
      </w:r>
      <w:proofErr w:type="spellStart"/>
      <w:r w:rsidR="00046B52"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 w:rsidR="00046B52">
        <w:rPr>
          <w:rFonts w:ascii="Times New Roman CYR" w:hAnsi="Times New Roman CYR" w:cs="Times New Roman CYR"/>
          <w:sz w:val="28"/>
          <w:szCs w:val="28"/>
        </w:rPr>
        <w:t xml:space="preserve"> за 2024 год составило 42 единицы, количество индивидуальных предпринимателей 222 единицы, в том числе количество крестьянско-фермерских </w:t>
      </w:r>
      <w:r w:rsidR="00BC59C8">
        <w:rPr>
          <w:rFonts w:ascii="Times New Roman CYR" w:hAnsi="Times New Roman CYR" w:cs="Times New Roman CYR"/>
          <w:sz w:val="28"/>
          <w:szCs w:val="28"/>
        </w:rPr>
        <w:t>хозяйств 10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 единиц.</w:t>
      </w:r>
    </w:p>
    <w:p w:rsidR="00046B52" w:rsidRDefault="005A36C0" w:rsidP="005A36C0">
      <w:pPr>
        <w:autoSpaceDE w:val="0"/>
        <w:autoSpaceDN w:val="0"/>
        <w:adjustRightInd w:val="0"/>
        <w:spacing w:after="0" w:line="240" w:lineRule="auto"/>
        <w:ind w:left="20" w:right="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Число субъектов малого и среднего предпринимательства в расчете на 10 000 человек населения по району в 2024 году составило </w:t>
      </w:r>
      <w:r w:rsidR="00046B52">
        <w:rPr>
          <w:rFonts w:ascii="Times New Roman CYR" w:hAnsi="Times New Roman CYR" w:cs="Times New Roman CYR"/>
          <w:sz w:val="28"/>
          <w:szCs w:val="28"/>
          <w:highlight w:val="white"/>
        </w:rPr>
        <w:t xml:space="preserve">237,09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единиц. </w:t>
      </w:r>
      <w:r w:rsidR="00046B5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В прогнозируемом 2025 году ожидается увеличение </w:t>
      </w:r>
      <w:r w:rsidR="00046B52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3,2 единицы, в 2026 году на 3 единицы, в 2027 году   на 2,89 единицы. Рост значения показателя обусловлен причиной ежегодного снижения </w:t>
      </w:r>
      <w:r>
        <w:rPr>
          <w:rFonts w:ascii="Times New Roman CYR" w:hAnsi="Times New Roman CYR" w:cs="Times New Roman CYR"/>
          <w:sz w:val="28"/>
          <w:szCs w:val="28"/>
        </w:rPr>
        <w:t>численности постоянного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 населения.</w:t>
      </w:r>
    </w:p>
    <w:p w:rsidR="00046B52" w:rsidRPr="00BC59C8" w:rsidRDefault="00046B52" w:rsidP="005A36C0">
      <w:pPr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предприятий по видам экономической деятельности в течение ряда лет остается практически не изменой. Отраслевое распределение малых предприятий характеризуется высокой долей предприятий розничной торговли.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Торговля и сфера услуг являются наиболее предпочтительными для малых предприятий.  </w:t>
      </w:r>
    </w:p>
    <w:p w:rsidR="00046B52" w:rsidRPr="00BC59C8" w:rsidRDefault="00046B52" w:rsidP="005A36C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BC59C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 2024 году среднесписочная численность работников (без внешних совместителей) малых и средних предприятий с учетом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составило </w:t>
      </w:r>
      <w:r w:rsidR="00203161">
        <w:rPr>
          <w:rFonts w:ascii="Times New Roman CYR" w:hAnsi="Times New Roman CYR" w:cs="Times New Roman CYR"/>
          <w:sz w:val="28"/>
          <w:szCs w:val="28"/>
        </w:rPr>
        <w:t>1035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34,23 </w:t>
      </w:r>
      <w:r>
        <w:rPr>
          <w:rFonts w:ascii="Times New Roman CYR" w:hAnsi="Times New Roman CYR" w:cs="Times New Roman CYR"/>
          <w:sz w:val="28"/>
          <w:szCs w:val="28"/>
        </w:rPr>
        <w:t xml:space="preserve">% в среднесписочной численности работников всех предприятий и организаций района. Среднесписочная численность работников малых и </w:t>
      </w:r>
      <w:proofErr w:type="spellStart"/>
      <w:r w:rsidR="00203161"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 w:rsidR="00203161"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уровню 2023 </w:t>
      </w:r>
      <w:r w:rsidR="00203161">
        <w:rPr>
          <w:rFonts w:ascii="Times New Roman CYR" w:hAnsi="Times New Roman CYR" w:cs="Times New Roman CYR"/>
          <w:sz w:val="28"/>
          <w:szCs w:val="28"/>
        </w:rPr>
        <w:t>года уменьшилось</w:t>
      </w:r>
      <w:r>
        <w:rPr>
          <w:rFonts w:ascii="Times New Roman CYR" w:hAnsi="Times New Roman CYR" w:cs="Times New Roman CYR"/>
          <w:sz w:val="28"/>
          <w:szCs w:val="28"/>
        </w:rPr>
        <w:t xml:space="preserve"> на 10 человек и в 2024 </w:t>
      </w:r>
      <w:r w:rsidR="00203161">
        <w:rPr>
          <w:rFonts w:ascii="Times New Roman CYR" w:hAnsi="Times New Roman CYR" w:cs="Times New Roman CYR"/>
          <w:sz w:val="28"/>
          <w:szCs w:val="28"/>
        </w:rPr>
        <w:t>году составило</w:t>
      </w:r>
      <w:r>
        <w:rPr>
          <w:rFonts w:ascii="Times New Roman CYR" w:hAnsi="Times New Roman CYR" w:cs="Times New Roman CYR"/>
          <w:sz w:val="28"/>
          <w:szCs w:val="28"/>
        </w:rPr>
        <w:t xml:space="preserve"> 570 человек. 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Уровень развития малого и среднего предпринимательства на территории муниципального образования во многом зависит от эффективности мер поддержки предпринимательства, принимаемых органами местного самоуправления, в том числе и мер финансовой поддержки.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Поддержка и развитие малого и среднего </w:t>
      </w:r>
      <w:r w:rsidR="00203161">
        <w:rPr>
          <w:rFonts w:ascii="Times New Roman CYR" w:hAnsi="Times New Roman CYR" w:cs="Times New Roman CYR"/>
          <w:color w:val="000000"/>
          <w:sz w:val="28"/>
          <w:szCs w:val="28"/>
        </w:rPr>
        <w:t>предпринимательства осуществляется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рамках мероприятий муниципальной целевой </w:t>
      </w:r>
      <w:r w:rsidR="00203161">
        <w:rPr>
          <w:rFonts w:ascii="Times New Roman CYR" w:hAnsi="Times New Roman CYR" w:cs="Times New Roman CYR"/>
          <w:color w:val="000000"/>
          <w:sz w:val="28"/>
          <w:szCs w:val="28"/>
        </w:rPr>
        <w:t>программы</w:t>
      </w:r>
      <w:r w:rsidR="00203161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малого и среднего предпринимательства и инвестиционного климата в Дзержинском районе на 2014-2027 годы». 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2024 году на реализацию программных мероприятий направлено 1,632 млн. рублей, за счет средств краевого бюджета 1,2937 млн. рублей, за счет средств местного бюджета - 338,303 тыс. рублей. Поддержка оказана 7 субъектам малого предпринимательства. Результатом реализации программных мероприятий в 2024 году стало создание на территории района 3 рабочих мест, сохранено 14 рабочих мест и привлечено инвестиций 24,941 млн. рублей.  </w:t>
      </w:r>
      <w:r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муниципальной поддержки в прогнозном периоде будет способствовать росту оборота малых и средних предприятий в стоимостном выражении, а также увеличению объема </w:t>
      </w:r>
      <w:r w:rsidR="00203161">
        <w:rPr>
          <w:rFonts w:ascii="Times New Roman CYR" w:hAnsi="Times New Roman CYR" w:cs="Times New Roman CYR"/>
          <w:sz w:val="28"/>
          <w:szCs w:val="28"/>
        </w:rPr>
        <w:t>инвестиций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капитал малых организаций. 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984"/>
        <w:gridCol w:w="993"/>
        <w:gridCol w:w="1134"/>
        <w:gridCol w:w="992"/>
        <w:gridCol w:w="1134"/>
      </w:tblGrid>
      <w:tr w:rsidR="00046B52" w:rsidTr="00203161">
        <w:trPr>
          <w:trHeight w:val="300"/>
        </w:trPr>
        <w:tc>
          <w:tcPr>
            <w:tcW w:w="4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 и единицы измерения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046B52" w:rsidTr="00203161">
        <w:trPr>
          <w:trHeight w:val="600"/>
        </w:trPr>
        <w:tc>
          <w:tcPr>
            <w:tcW w:w="4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2023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2024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2026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2027 прогноз</w:t>
            </w:r>
          </w:p>
        </w:tc>
      </w:tr>
      <w:tr w:rsidR="00046B52" w:rsidTr="00203161">
        <w:trPr>
          <w:trHeight w:val="30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 Количество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</w:rPr>
              <w:t>, ед.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</w:tr>
      <w:tr w:rsidR="00046B52" w:rsidTr="00203161">
        <w:trPr>
          <w:trHeight w:val="30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 Количество средних предприятий, ед.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046B52" w:rsidTr="00203161">
        <w:trPr>
          <w:trHeight w:val="39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 Количество индивидуальных предпринимателей, ед.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</w:t>
            </w:r>
          </w:p>
        </w:tc>
      </w:tr>
      <w:tr w:rsidR="00046B52" w:rsidTr="00203161">
        <w:trPr>
          <w:trHeight w:val="615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3.1. в том числе количество крестьянско-фермерских хозяйств, ед.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046B52" w:rsidTr="00203161">
        <w:trPr>
          <w:trHeight w:val="885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</w:rPr>
              <w:t>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конец отчетного года</w:t>
            </w:r>
            <w:r>
              <w:rPr>
                <w:rFonts w:ascii="Times New Roman CYR" w:hAnsi="Times New Roman CYR" w:cs="Times New Roman CYR"/>
              </w:rPr>
              <w:t>, чел.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10 764</w:t>
            </w:r>
          </w:p>
        </w:tc>
      </w:tr>
      <w:tr w:rsidR="00046B52" w:rsidTr="00203161">
        <w:trPr>
          <w:trHeight w:val="855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246,19</w:t>
            </w:r>
          </w:p>
        </w:tc>
      </w:tr>
      <w:tr w:rsidR="00046B52" w:rsidTr="00203161">
        <w:trPr>
          <w:trHeight w:val="60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6. Среднесписочная численность работников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</w:rPr>
              <w:t>, чел.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570</w:t>
            </w:r>
          </w:p>
        </w:tc>
      </w:tr>
      <w:tr w:rsidR="00046B52" w:rsidTr="00203161">
        <w:trPr>
          <w:trHeight w:val="90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</w:t>
            </w:r>
          </w:p>
        </w:tc>
      </w:tr>
      <w:tr w:rsidR="00046B52" w:rsidTr="00203161">
        <w:trPr>
          <w:trHeight w:val="60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7.1. в том числе в крестьянско-фермерских хозяйствах, чел.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</w:tr>
      <w:tr w:rsidR="00046B52" w:rsidTr="00203161">
        <w:trPr>
          <w:trHeight w:val="60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</w:tr>
      <w:tr w:rsidR="00046B52" w:rsidTr="00203161">
        <w:trPr>
          <w:trHeight w:val="126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2 040</w:t>
            </w:r>
          </w:p>
        </w:tc>
      </w:tr>
      <w:tr w:rsidR="00046B52" w:rsidTr="00203161">
        <w:trPr>
          <w:trHeight w:val="1995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35,16</w:t>
            </w:r>
          </w:p>
        </w:tc>
      </w:tr>
    </w:tbl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BC59C8" w:rsidRDefault="00046B52" w:rsidP="00BC5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BC59C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48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Устойчивое состояние и успешное развитие района во многом зависит от инвестиционной активности, сложившейся на территории района. На сегодняшний день одной из наиболее важных задач является привлечение инвестиций в экономику района. Предприятия вкладывают значительные средства в обновление основных средств. Основным источником финансирования инвестиций являются привлеченные средства. </w:t>
      </w:r>
    </w:p>
    <w:p w:rsidR="00DE4C3C" w:rsidRDefault="00DE4C3C" w:rsidP="00DE4C3C">
      <w:pPr>
        <w:autoSpaceDE w:val="0"/>
        <w:autoSpaceDN w:val="0"/>
        <w:adjustRightInd w:val="0"/>
        <w:spacing w:after="0" w:line="240" w:lineRule="auto"/>
        <w:ind w:left="120" w:right="4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В 2024 году в экономику района привлечено 231 882 тыс. рублей инвестиций в основной капитал за счет всех источников финансирования, к уровню 2023 года увеличение в 2 раза, (в 2023 году 94 144 тыс. рублей). Объем инвестиций в основной капитал (за исключением бюджетных средств) в расчете на 1 жителя района составляет 13 245,95 рублей, что больше данного показателя 2023 года на 10 097,02 рублей (в 2023 году 3 148,93 рублей). В отчетном периоде </w:t>
      </w:r>
      <w:r w:rsidR="00046B52"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инвестиции распределились по таким видам деятельности, как: </w:t>
      </w:r>
    </w:p>
    <w:p w:rsidR="00046B52" w:rsidRPr="00DE4C3C" w:rsidRDefault="00046B52" w:rsidP="00DE4C3C">
      <w:pPr>
        <w:autoSpaceDE w:val="0"/>
        <w:autoSpaceDN w:val="0"/>
        <w:adjustRightInd w:val="0"/>
        <w:spacing w:after="0" w:line="240" w:lineRule="auto"/>
        <w:ind w:left="120" w:right="4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1"/>
          <w:sz w:val="28"/>
          <w:szCs w:val="28"/>
          <w:highlight w:val="white"/>
        </w:rPr>
        <w:t xml:space="preserve">1.«Деятельность в области здравоохранения и социальных услуг».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Инвестиции составили 23 725 тыс. рублей, к уровню 2023 года увеличение на 66,2% (14 274 тыс. рублей).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КГБУЗ «Дзержинской районной больницей» п</w:t>
      </w:r>
      <w:r>
        <w:rPr>
          <w:rFonts w:ascii="Times New Roman CYR" w:hAnsi="Times New Roman CYR" w:cs="Times New Roman CYR"/>
          <w:sz w:val="28"/>
          <w:szCs w:val="28"/>
        </w:rPr>
        <w:t>риобретено медицинское оборудование и мебель. Проведен косметический ремонт хирургического и терапевтического отделений.  В рамках программы «Модернизация оказания медика санитарной помощи» в распоряжение КГБУЗ «Дзержинская РБ» поступил автомобиль СМП марки «Луидор». В КГБУ СОКЦСОН «Дзержинский» установлена новая котельная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Терморобот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приобретена оргтехника и мебель, для занятий адаптивной физкультурой приобретен спортивный инвентарь.</w:t>
      </w:r>
    </w:p>
    <w:p w:rsidR="00DE4C3C" w:rsidRDefault="00046B52" w:rsidP="00DE4C3C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2."Агропромышленный комплекс". </w:t>
      </w:r>
      <w:r>
        <w:rPr>
          <w:rFonts w:ascii="Times New Roman CYR" w:hAnsi="Times New Roman CYR" w:cs="Times New Roman CYR"/>
          <w:sz w:val="28"/>
          <w:szCs w:val="28"/>
        </w:rPr>
        <w:t xml:space="preserve">Инвестиции оставили 56 154 тыс. рублей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к уровню 2023 года увеличение в 400 раз (134 тыс. рублей). </w:t>
      </w:r>
      <w:r>
        <w:rPr>
          <w:rFonts w:ascii="Times New Roman CYR" w:hAnsi="Times New Roman CYR" w:cs="Times New Roman CYR"/>
          <w:sz w:val="28"/>
          <w:szCs w:val="28"/>
        </w:rPr>
        <w:t xml:space="preserve"> ООО «Совхоз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приобретение зерноуборочного комбайна, колесного трактора, оборудования для кормов, приобретены три автомобиля: Нива (Ваз 21213), Газель (ГАЗ 31213), Джип (Черри) и транспортеры для уборки навоза.</w:t>
      </w:r>
    </w:p>
    <w:p w:rsidR="00DE4C3C" w:rsidRDefault="00046B52" w:rsidP="00DE4C3C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1"/>
          <w:sz w:val="28"/>
          <w:szCs w:val="28"/>
          <w:highlight w:val="white"/>
        </w:rPr>
        <w:t xml:space="preserve">3. «Платные услуги населению».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Инвестиции составили 80 819 тыс. рублей, к уровню 2023 года увеличение на 67,2% (48 342 тыс. рублей).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МОУ ДОД «ДЮСШ» (спортивная школа) ремонт фасада спортивного зала в с. Дзержинское и строительство велодорожки.  МБОУ ДО ДДШ (школа искусств) приобретение музыкальных инструментов. АО </w:t>
      </w:r>
      <w:proofErr w:type="spellStart"/>
      <w:r>
        <w:rPr>
          <w:rFonts w:ascii="Times New Roman CYR" w:hAnsi="Times New Roman CYR" w:cs="Times New Roman CYR"/>
          <w:spacing w:val="-1"/>
          <w:sz w:val="28"/>
          <w:szCs w:val="28"/>
        </w:rPr>
        <w:t>КрайДЭО</w:t>
      </w:r>
      <w:proofErr w:type="spellEnd"/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Дзержинский филиал строительство бескаркасного ангара и строительство теплотрассы. Приобретен дорожный каток, газонокосилка, котловой модуль, установлен кран козловой электрический.</w:t>
      </w:r>
    </w:p>
    <w:p w:rsidR="00DE4C3C" w:rsidRDefault="00DE4C3C" w:rsidP="00DE4C3C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 По оценке 2025 года привлечение инвестиций в экономику района планируется в объеме 257 206,8 тыс. рублей, в том числе:</w:t>
      </w:r>
    </w:p>
    <w:p w:rsidR="00DE4C3C" w:rsidRDefault="00046B52" w:rsidP="00DE4C3C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приобретения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сельхозтоваропроизводителями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автомобиля УАЗ 3163, посевного комплекса и каток для прикатывания почвы (11 206,8 тыс. рублей); </w:t>
      </w:r>
    </w:p>
    <w:p w:rsidR="00DE4C3C" w:rsidRDefault="00046B52" w:rsidP="00DE4C3C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приобретения автогрейдера и комбинированной дорожной машины АО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КрайДЭО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" Дзержинский филиал (21 000 тыс. рублей).  </w:t>
      </w:r>
    </w:p>
    <w:p w:rsidR="00DE4C3C" w:rsidRDefault="00DE4C3C" w:rsidP="00DE4C3C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Объем инвестиций за счет бюджетных средств в 2024 году составил 82 428 тыс. рублей, к уровню 2023 года произошло увеличение на 42,2% (в 2023 году 57 966 тыс. рублей).  </w:t>
      </w:r>
      <w:r w:rsidR="00046B52">
        <w:rPr>
          <w:rFonts w:ascii="Times New Roman CYR" w:hAnsi="Times New Roman CYR" w:cs="Times New Roman CYR"/>
          <w:kern w:val="27"/>
          <w:sz w:val="28"/>
          <w:szCs w:val="28"/>
        </w:rPr>
        <w:t xml:space="preserve"> </w:t>
      </w:r>
    </w:p>
    <w:p w:rsidR="00DE4C3C" w:rsidRDefault="00DE4C3C" w:rsidP="00DE4C3C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На основании закона Красноярского края «О краевом бюджете на 2025 год и плановый период 2026-2027 годов" № 8-3382 от 05.12.2024 г. в 2025 году планируется   объем инвестиций 225 000 тыс. рублей, которые предусмотрены на строительство быстровозводимой крытой спортивной площадки в с. Дзержинское (150 000 тыс. рублей) и строительства досугового центра в с. </w:t>
      </w:r>
      <w:proofErr w:type="spellStart"/>
      <w:r w:rsidR="00046B52">
        <w:rPr>
          <w:rFonts w:ascii="Times New Roman CYR" w:hAnsi="Times New Roman CYR" w:cs="Times New Roman CYR"/>
          <w:sz w:val="28"/>
          <w:szCs w:val="28"/>
        </w:rPr>
        <w:t>Шеломки</w:t>
      </w:r>
      <w:proofErr w:type="spellEnd"/>
      <w:r w:rsidR="00046B52">
        <w:rPr>
          <w:rFonts w:ascii="Times New Roman CYR" w:hAnsi="Times New Roman CYR" w:cs="Times New Roman CYR"/>
          <w:sz w:val="28"/>
          <w:szCs w:val="28"/>
        </w:rPr>
        <w:t xml:space="preserve"> (75 000 тыс. рублей). </w:t>
      </w:r>
    </w:p>
    <w:p w:rsidR="00046B52" w:rsidRDefault="00DE4C3C" w:rsidP="00DE4C3C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  На территории района инвестиционные проекты не реализуются.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15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134"/>
        <w:gridCol w:w="1276"/>
        <w:gridCol w:w="1276"/>
        <w:gridCol w:w="1417"/>
        <w:gridCol w:w="1418"/>
      </w:tblGrid>
      <w:tr w:rsidR="00046B52" w:rsidTr="00A10292">
        <w:trPr>
          <w:trHeight w:val="289"/>
        </w:trPr>
        <w:tc>
          <w:tcPr>
            <w:tcW w:w="3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 и единицы измерения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046B52" w:rsidTr="00A10292">
        <w:tblPrEx>
          <w:tblBorders>
            <w:bottom w:val="single" w:sz="4" w:space="0" w:color="auto"/>
          </w:tblBorders>
        </w:tblPrEx>
        <w:trPr>
          <w:trHeight w:val="600"/>
        </w:trPr>
        <w:tc>
          <w:tcPr>
            <w:tcW w:w="3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2023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2024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2026 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2027 прогноз</w:t>
            </w:r>
          </w:p>
        </w:tc>
      </w:tr>
      <w:tr w:rsidR="00046B52" w:rsidTr="00A10292">
        <w:tblPrEx>
          <w:tblBorders>
            <w:bottom w:val="single" w:sz="4" w:space="0" w:color="auto"/>
          </w:tblBorders>
        </w:tblPrEx>
        <w:trPr>
          <w:trHeight w:val="120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231 882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203161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257 206,8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271 095,97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283 295,29</w:t>
            </w:r>
          </w:p>
        </w:tc>
      </w:tr>
      <w:tr w:rsidR="00046B52" w:rsidTr="00A10292">
        <w:tblPrEx>
          <w:tblBorders>
            <w:bottom w:val="single" w:sz="4" w:space="0" w:color="auto"/>
          </w:tblBorders>
        </w:tblPrEx>
        <w:trPr>
          <w:trHeight w:val="81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42,49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246,31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110,92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104,50</w:t>
            </w:r>
          </w:p>
        </w:tc>
      </w:tr>
      <w:tr w:rsidR="00046B52" w:rsidTr="00A10292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1.2. Индекс-дефлятор,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104,50</w:t>
            </w:r>
          </w:p>
        </w:tc>
      </w:tr>
      <w:tr w:rsidR="00046B52" w:rsidTr="00A10292">
        <w:tblPrEx>
          <w:tblBorders>
            <w:bottom w:val="single" w:sz="4" w:space="0" w:color="auto"/>
          </w:tblBorders>
        </w:tblPrEx>
        <w:trPr>
          <w:trHeight w:val="765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224,94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100,00</w:t>
            </w:r>
          </w:p>
        </w:tc>
      </w:tr>
      <w:tr w:rsidR="00046B52" w:rsidTr="00A10292">
        <w:tblPrEx>
          <w:tblBorders>
            <w:bottom w:val="single" w:sz="4" w:space="0" w:color="auto"/>
          </w:tblBorders>
        </w:tblPrEx>
        <w:trPr>
          <w:trHeight w:val="735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2. Инвестиции в основной капитал за счет бюджетных средств,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82 428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247 821,75</w:t>
            </w:r>
          </w:p>
        </w:tc>
      </w:tr>
      <w:tr w:rsidR="00046B52" w:rsidTr="00A10292">
        <w:tblPrEx>
          <w:tblBorders>
            <w:bottom w:val="single" w:sz="4" w:space="0" w:color="auto"/>
          </w:tblBorders>
        </w:tblPrEx>
        <w:trPr>
          <w:trHeight w:val="60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149 454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32 206,80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33 945,97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35 473,54</w:t>
            </w:r>
          </w:p>
        </w:tc>
      </w:tr>
      <w:tr w:rsidR="00046B52" w:rsidTr="00A10292">
        <w:tblPrEx>
          <w:tblBorders>
            <w:bottom w:val="single" w:sz="4" w:space="0" w:color="auto"/>
          </w:tblBorders>
        </w:tblPrEx>
        <w:trPr>
          <w:trHeight w:val="90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10 828</w:t>
            </w:r>
          </w:p>
        </w:tc>
      </w:tr>
      <w:tr w:rsidR="00046B52" w:rsidTr="00A10292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3 148,93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13 245,95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2 900,73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3 097,26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 w:rsidP="005A36C0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3 276,09</w:t>
            </w:r>
          </w:p>
        </w:tc>
      </w:tr>
    </w:tbl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BC59C8" w:rsidRDefault="00046B52" w:rsidP="00BC5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BC59C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2024 год площадь земельных участков, являющихся объектами налогообложения земельным налогом к уровню 2023 года увеличилась на 12,91 га</w:t>
      </w:r>
      <w:r w:rsidR="00217655">
        <w:rPr>
          <w:rFonts w:ascii="Times New Roman CYR" w:hAnsi="Times New Roman CYR" w:cs="Times New Roman CYR"/>
          <w:sz w:val="28"/>
          <w:szCs w:val="28"/>
        </w:rPr>
        <w:t>.,</w:t>
      </w:r>
      <w:r>
        <w:rPr>
          <w:rFonts w:ascii="Times New Roman CYR" w:hAnsi="Times New Roman CYR" w:cs="Times New Roman CYR"/>
          <w:sz w:val="28"/>
          <w:szCs w:val="28"/>
        </w:rPr>
        <w:t xml:space="preserve"> и составило 60 826,2 га. (в 2023 году - 60 813,29 га.).  Доля площади земельных участков, являющихся объектами налогообложения земельным налогом, в общей площади территории района (356 851 га.) составляет 17,05%.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Рост площади земельных участков, являющихся объектами налогообложения земельным налогом, обусловлен следующими причинами:</w:t>
      </w:r>
    </w:p>
    <w:p w:rsidR="00046B52" w:rsidRPr="006B7FAF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выкуп земельных участков из государств</w:t>
      </w:r>
      <w:r w:rsidR="006B7FAF">
        <w:rPr>
          <w:rFonts w:ascii="Times New Roman CYR" w:hAnsi="Times New Roman CYR" w:cs="Times New Roman CYR"/>
          <w:sz w:val="28"/>
          <w:szCs w:val="28"/>
        </w:rPr>
        <w:t>енной собственности - 12,91 га.</w:t>
      </w:r>
    </w:p>
    <w:p w:rsidR="00046B52" w:rsidRPr="006B7FAF" w:rsidRDefault="00046B52" w:rsidP="005A36C0">
      <w:pPr>
        <w:autoSpaceDE w:val="0"/>
        <w:autoSpaceDN w:val="0"/>
        <w:adjustRightInd w:val="0"/>
        <w:spacing w:after="0" w:line="240" w:lineRule="auto"/>
        <w:ind w:right="-94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6B7F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5. Доля прибыльных сельскохозяйственных организаций в общем их числе</w:t>
      </w:r>
    </w:p>
    <w:p w:rsidR="00217655" w:rsidRDefault="00046B52" w:rsidP="00217655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17655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Дзержинский район сельскохозяйственный, занимается растениеводством и животноводством. В сводной годовой бухгалтерской отчетности за 2024 год по району включено 11 сельскохозяйственных предприятий различных организационно - правовых форм и форм собственности, из которых 7 предприятий прибыльных, 4 убыточных. Доля прибыльных сельскохозяйственных организаций в общем их числе составляет 63,6%. В сравнении с 2023 годом увеличилось число убыточных хозяйств на 2 предприятия. Из них три предприятия занимаются производством зерновых и масличных культур, урожай 2024 года реализован не полностью, большая часть зерна находится на остатке. Одно предприятие занимается производством мяса свиней, себестоимость реализации мяса свиней превышает цену реализации.</w:t>
      </w:r>
    </w:p>
    <w:p w:rsidR="00046B52" w:rsidRPr="006B7FAF" w:rsidRDefault="00046B52" w:rsidP="00217655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отчетном периоде деятельность организаций сельского хозяйства в районе осуществлялась в условиях продолжения реализации мер государственной поддержки за счет средств краевого и федерального бюджетов. В рамках выполнения мероприятий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на 2014-2030 годы субъектам агропромышленного комплекса в 2024 году была оказана государственная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поддержка в объеме 76628,52328 тыс. рублей, в том числе за счет средств краевого бюджета – 61572,60138 тыс. рублей, за счет средств федерального бю</w:t>
      </w:r>
      <w:r w:rsidR="006B7FAF">
        <w:rPr>
          <w:rFonts w:ascii="Times New Roman CYR" w:hAnsi="Times New Roman CYR" w:cs="Times New Roman CYR"/>
          <w:sz w:val="28"/>
          <w:szCs w:val="28"/>
        </w:rPr>
        <w:t>джета- 15055,92190 тыс. рублей.</w:t>
      </w:r>
    </w:p>
    <w:p w:rsidR="00046B52" w:rsidRPr="006B7FAF" w:rsidRDefault="00046B52" w:rsidP="005A36C0">
      <w:pPr>
        <w:autoSpaceDE w:val="0"/>
        <w:autoSpaceDN w:val="0"/>
        <w:adjustRightInd w:val="0"/>
        <w:spacing w:after="0" w:line="240" w:lineRule="auto"/>
        <w:ind w:right="-94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6B7F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046B52" w:rsidRDefault="00F81787" w:rsidP="005A36C0">
      <w:pPr>
        <w:autoSpaceDE w:val="0"/>
        <w:autoSpaceDN w:val="0"/>
        <w:adjustRightInd w:val="0"/>
        <w:spacing w:after="0" w:line="240" w:lineRule="auto"/>
        <w:ind w:right="-94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46B52">
        <w:rPr>
          <w:rFonts w:ascii="Times New Roman CYR" w:hAnsi="Times New Roman CYR" w:cs="Times New Roman CYR"/>
          <w:sz w:val="28"/>
          <w:szCs w:val="28"/>
        </w:rPr>
        <w:t xml:space="preserve">Общая протяженность автомобильных дорог общего пользования Дзержинского района по состоянию на 01.01.2025 составила 577,98 км, из которых 258,7 км – дороги местного значения. 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Протяженность автомобильных дорог общего пользования местного значения, не отвечающих нормативным требованиям, составила в 2024 году 70,9 % (183,6 км) в общей протяженности автомобильных дорог общего пользования местного значения.  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местных бюджетах денежных средств в объемах, достаточных для содержания, развития и модернизации автомобильных дорог, является основной причиной неудовлетворительного состояния дорожной сети местного значения. Кроме того, большое влияние на качество дорог оказывают многократно возросшие нагрузки от воздействия тяжеловесного транспорта.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Учитывая недостаточность средств бюджетов муниципальных образований, Правительством Красноярского края ежегодно предоставляются субсидии бюджетам муниципальных образований на осуществление дорожной деятельности в отношении автомобильных дорог местного значения. 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2024 году в рамках реализации государственной программы Красноярского края «Развитие транспортной системы» бюджету района предоставлено субсидий: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капитальный ремонт и ремонт автомобильных дорог общего пользования местного значения 10 691, 3 тыс. рублей;</w:t>
      </w:r>
    </w:p>
    <w:p w:rsidR="00046B52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осуществление дорожной деятельности в целях решения задач, направленных на социально-экономическое развитие территории 10 000 тыс. рублей.</w:t>
      </w:r>
    </w:p>
    <w:p w:rsidR="00046B52" w:rsidRPr="0032038F" w:rsidRDefault="00046B52" w:rsidP="005A36C0">
      <w:pPr>
        <w:autoSpaceDE w:val="0"/>
        <w:autoSpaceDN w:val="0"/>
        <w:adjustRightInd w:val="0"/>
        <w:spacing w:after="0" w:line="240" w:lineRule="auto"/>
        <w:ind w:right="-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проведённых работ приведено в соответствие с требованиями </w:t>
      </w:r>
      <w:r w:rsidR="006B7FAF">
        <w:rPr>
          <w:rFonts w:ascii="Times New Roman CYR" w:hAnsi="Times New Roman CYR" w:cs="Times New Roman CYR"/>
          <w:sz w:val="28"/>
          <w:szCs w:val="28"/>
        </w:rPr>
        <w:t>нормативов порядка 3 563 метра.</w:t>
      </w: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046B52" w:rsidRDefault="00046B52" w:rsidP="00A10292">
      <w:pPr>
        <w:tabs>
          <w:tab w:val="left" w:pos="9771"/>
        </w:tabs>
        <w:autoSpaceDE w:val="0"/>
        <w:autoSpaceDN w:val="0"/>
        <w:adjustRightInd w:val="0"/>
        <w:spacing w:after="0" w:line="240" w:lineRule="auto"/>
        <w:ind w:right="-1" w:firstLine="6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население, проживающее в населенных пунктах района, имеет регулярное автобусное сообщение с административным центром Дзержинского района.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46B52" w:rsidRPr="0032038F" w:rsidRDefault="00046B52" w:rsidP="00A10292">
      <w:pPr>
        <w:widowControl w:val="0"/>
        <w:tabs>
          <w:tab w:val="left" w:pos="9771"/>
        </w:tabs>
        <w:suppressAutoHyphens/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оказания содействия органам местного самоуправления в реализации полномочий по решению вопросов местного значения ежегодно из фонда финансовой поддержки Красноярского края выделяются средства на выполнение муниципальных программ пассажирских перевозок автомобильным транспортом. В 2024 году на данные цели было </w:t>
      </w:r>
      <w:r w:rsidR="0032038F">
        <w:rPr>
          <w:rFonts w:ascii="Times New Roman CYR" w:hAnsi="Times New Roman CYR" w:cs="Times New Roman CYR"/>
          <w:sz w:val="28"/>
          <w:szCs w:val="28"/>
        </w:rPr>
        <w:t xml:space="preserve">выделено 22 900,0 тыс. рублей. </w:t>
      </w:r>
    </w:p>
    <w:p w:rsidR="00046B52" w:rsidRDefault="00046B52" w:rsidP="00F81787">
      <w:pPr>
        <w:tabs>
          <w:tab w:val="left" w:pos="977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32038F" w:rsidRDefault="00046B52" w:rsidP="005A36C0">
      <w:pPr>
        <w:tabs>
          <w:tab w:val="left" w:pos="9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Среднемесячная номинальная начисленная заработная плата работников: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32038F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8.1. крупных и средних предприятий и некоммерческих организаций;</w:t>
      </w:r>
    </w:p>
    <w:p w:rsidR="00046B52" w:rsidRDefault="00046B52" w:rsidP="00046B52">
      <w:pPr>
        <w:widowControl w:val="0"/>
        <w:autoSpaceDE w:val="0"/>
        <w:autoSpaceDN w:val="0"/>
        <w:adjustRightInd w:val="0"/>
        <w:spacing w:after="0" w:line="322" w:lineRule="exact"/>
        <w:ind w:right="2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20640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Изменению уровня жизни населения способствует рост заработной платы. </w:t>
      </w:r>
    </w:p>
    <w:p w:rsidR="00046B52" w:rsidRDefault="00046B52" w:rsidP="00046B52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заработная плата работников за 2024 год крупных и средних предприятий и некоммерческих организаций составила 57 387,70 рублей, темп роста к уровню прошлого года составил 17,38 %.</w:t>
      </w:r>
    </w:p>
    <w:p w:rsidR="00046B52" w:rsidRDefault="00046B52" w:rsidP="00046B52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2024 году были сохранены достигнутые целевые показатели, установленные указами Президента Российской Федерации в части размера заработной платы отдельных категорий работников бюджетной сферы. Также росту заработной платы поспособствовало повышение МРОТ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 01.01.2024 года с </w:t>
      </w:r>
      <w:r>
        <w:rPr>
          <w:rFonts w:ascii="Times New Roman CYR" w:hAnsi="Times New Roman CYR" w:cs="Times New Roman CYR"/>
          <w:sz w:val="28"/>
          <w:szCs w:val="28"/>
        </w:rPr>
        <w:t>16 242,00 рублей до 19 242,00 рублей.</w:t>
      </w:r>
    </w:p>
    <w:p w:rsidR="00046B52" w:rsidRDefault="00046B52" w:rsidP="00046B52">
      <w:pPr>
        <w:widowControl w:val="0"/>
        <w:autoSpaceDE w:val="0"/>
        <w:autoSpaceDN w:val="0"/>
        <w:adjustRightInd w:val="0"/>
        <w:spacing w:after="0" w:line="322" w:lineRule="exact"/>
        <w:ind w:right="2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Оценка среднемесячной номинальной заработной платы на 2025 год составила 65 995,85 рублей, темп роста к уровню 2024 года – 115 %. Прогноз среднемесячной номинальной заработной платы на 2026 год – 73189,40 рублей, темп роста 110,9 %; на 2027 год – 79 630,10 рублей, темп роста 108,8 %.</w:t>
      </w:r>
    </w:p>
    <w:p w:rsidR="00046B52" w:rsidRPr="0032038F" w:rsidRDefault="00046B52" w:rsidP="0032038F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Темпы роста заработной платы в прогнозном периоде будут сохранены благодаря достигнутому соотношению между уровнем оплаты труда отдельных категорий работников бюджетной сферы и уровнем средней заработной платы, а также благод</w:t>
      </w:r>
      <w:r w:rsidR="0032038F">
        <w:rPr>
          <w:rFonts w:ascii="Times New Roman CYR" w:hAnsi="Times New Roman CYR" w:cs="Times New Roman CYR"/>
          <w:sz w:val="28"/>
          <w:szCs w:val="28"/>
        </w:rPr>
        <w:t>аря ежегодному повышению МРОТ».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32038F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8.2. муниципальных дошкольных образовательных учреждений;</w:t>
      </w:r>
    </w:p>
    <w:p w:rsidR="00046B52" w:rsidRDefault="00046B52" w:rsidP="0032038F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 2024 году средняя заработная плата работников муниципальных дошкольных образовательных учреждений составила 47741,40 рубль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2023 год – 43982,40 рубля, рост на 8,5%)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Отношение среднемесячной номинальной начисленной заработной платы работников муниципальных дошкольных образовательных учреждений к среднемесячной номинальной начисленной заработной плате работников крупных и средних предприятий и некоммерческих организаций составляет 83,2%.</w:t>
      </w:r>
    </w:p>
    <w:p w:rsidR="0020640B" w:rsidRPr="0032038F" w:rsidRDefault="0020640B" w:rsidP="0032038F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MS Sans Serif" w:hAnsi="MS Sans Serif" w:cs="MS Sans Serif"/>
          <w:sz w:val="16"/>
          <w:szCs w:val="16"/>
        </w:rPr>
      </w:pPr>
    </w:p>
    <w:p w:rsidR="00046B52" w:rsidRPr="0032038F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8.3. муниципальных общеобразовательных учреждений;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 2024 году уровень средней заработной платы работников муниципальных общеобразовательных учреждений составил 61 905,30 рублей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2023 год – 52 724,90 рубля, рост – 17,4%)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6B52" w:rsidRDefault="00046B52" w:rsidP="0032038F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Отношение среднемесячной номинальной начисленной заработной платы работников муниципальных общеобразовательных учреждений к среднемесячной номинальной начисленной заработной плате работников крупных и средних предприятий и некоммерческих организаций составляет 107,9%, учителей - 114%.</w:t>
      </w:r>
    </w:p>
    <w:p w:rsidR="0020640B" w:rsidRPr="0032038F" w:rsidRDefault="0020640B" w:rsidP="0032038F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46B52" w:rsidRPr="0032038F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8.4. муниципальных учреждений культуры и искусства;</w:t>
      </w:r>
    </w:p>
    <w:p w:rsidR="00850E2E" w:rsidRPr="00203161" w:rsidRDefault="00046B52" w:rsidP="00203161">
      <w:p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2024 году среднемесячная номинальная заработная плата в муниципальных учреждениях культуры составила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56 259,90 рублей, рост заработной платы по отношению к 2023 году составил 118,5 %.</w:t>
      </w:r>
    </w:p>
    <w:p w:rsidR="00850E2E" w:rsidRDefault="00850E2E" w:rsidP="0032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0E2E" w:rsidRDefault="00850E2E" w:rsidP="0032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II. Дошкольное образование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состоянию на 1 января 2025 года в районе функционировало 5 муниципальных дошкольных образовательных учреждений (далее - ДОУ) и 4 филиала муниципальных дошкольных образовательных учреждений на 735 мест</w:t>
      </w:r>
      <w:r>
        <w:rPr>
          <w:rFonts w:ascii="Times New Roman CYR" w:hAnsi="Times New Roman CYR" w:cs="Times New Roman CYR"/>
          <w:sz w:val="24"/>
          <w:szCs w:val="24"/>
        </w:rPr>
        <w:t>. К</w:t>
      </w:r>
      <w:r>
        <w:rPr>
          <w:rFonts w:ascii="Times New Roman CYR" w:hAnsi="Times New Roman CYR" w:cs="Times New Roman CYR"/>
          <w:sz w:val="28"/>
          <w:szCs w:val="28"/>
        </w:rPr>
        <w:t>оличество детей, посещающих детские учреждения 591 человек. Доля детей в возрасте 1 - 6 лет, получающих дошкольную образовательную услугу в общей численности детей в возрасте 1 - 6 лет, составляет 72,6</w:t>
      </w:r>
      <w:r w:rsidR="0032038F">
        <w:rPr>
          <w:rFonts w:ascii="Times New Roman CYR" w:hAnsi="Times New Roman CYR" w:cs="Times New Roman CYR"/>
          <w:b/>
          <w:bCs/>
          <w:sz w:val="24"/>
          <w:szCs w:val="24"/>
        </w:rPr>
        <w:t>%.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 w:firstLine="6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составляет 0%. В натуральном выражении – 0 детей, из них дети в возрасте</w:t>
      </w:r>
      <w:r w:rsidR="0032038F">
        <w:rPr>
          <w:rFonts w:ascii="Times New Roman CYR" w:hAnsi="Times New Roman CYR" w:cs="Times New Roman CYR"/>
          <w:sz w:val="28"/>
          <w:szCs w:val="28"/>
        </w:rPr>
        <w:t xml:space="preserve"> от 3 до 7 лет – отсутствуют.</w:t>
      </w: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Здание МБДОУ «Дзержинский детский сад № 1 «Чебурашка» требует капитального ремонта. Доля муниципальных дошкольных образовательных учреждений, здания которых требуют капитального ремонта, составляет 20%.                        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дефицитом бюджета материально-техническое обеспечение дошкольных образовательных учреждений требует серьезного обновления. В рамках внедрения ФГОС необходимо обогащать образовательную среду игрушками, дидактическими материалами, соврем</w:t>
      </w:r>
      <w:r w:rsidR="0032038F">
        <w:rPr>
          <w:rFonts w:ascii="Times New Roman CYR" w:hAnsi="Times New Roman CYR" w:cs="Times New Roman CYR"/>
          <w:sz w:val="28"/>
          <w:szCs w:val="28"/>
        </w:rPr>
        <w:t xml:space="preserve">енной мебелью и компьютерами.  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системе общего образования Дзержинского района функционируют восемь общеобразовательных школ, которые имеют три филиала; два учреждения дополнительного образования (ДЮСШ, ЦВР).      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выпускников общеобразовательных школ района в 2024 году составило 76 человек.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Аттестат о среднем общем образовании получили 76 выпускников общеобразователь</w:t>
      </w:r>
      <w:r w:rsidR="0032038F">
        <w:rPr>
          <w:rFonts w:ascii="Times New Roman CYR" w:hAnsi="Times New Roman CYR" w:cs="Times New Roman CYR"/>
          <w:sz w:val="28"/>
          <w:szCs w:val="28"/>
        </w:rPr>
        <w:t>ных школ, что составляет 100 %.</w:t>
      </w: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lastRenderedPageBreak/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создания необходимых (базовых) условий для реализации основных образовательных стандартов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оборудованием, обеспечение учебниками, повышение квалификации учителей и руководителей общеобразовательных учреждений района, также организован подвоз обучающихся в школы.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все школы района обеспечены необходимым комплектом оборудования для реализации федеральных государственных образовательных стандартов начального и основного общего образования. Все учащиеся школ района обеспечены бесплатными учебниками по обязательным для изучения предметам в полном объёме.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Школы района подключены к сети Интернет. У каждого общеобразовательного учреждения района имеется Интернет-сайт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отражающий результаты деятельности учреждения и содержащий информацию, обязательную для размещения на сайте в соответствии с действующим законодательством. В 7 из 8 общеобразовательных учреждений района имеются физкультурные залы, что составляет 87,5%. </w:t>
      </w:r>
    </w:p>
    <w:p w:rsidR="00046B52" w:rsidRPr="00203161" w:rsidRDefault="00203161" w:rsidP="00046B52">
      <w:pPr>
        <w:autoSpaceDE w:val="0"/>
        <w:autoSpaceDN w:val="0"/>
        <w:adjustRightInd w:val="0"/>
        <w:spacing w:after="0" w:line="240" w:lineRule="auto"/>
        <w:ind w:right="240" w:firstLine="9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r w:rsidR="00046B52" w:rsidRPr="00203161">
        <w:rPr>
          <w:rFonts w:ascii="Times New Roman CYR" w:hAnsi="Times New Roman CYR" w:cs="Times New Roman CYR"/>
          <w:sz w:val="24"/>
          <w:szCs w:val="24"/>
        </w:rPr>
        <w:t>Показатели и доля соответствия этим показателям среди школ района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465"/>
        <w:gridCol w:w="1701"/>
        <w:gridCol w:w="1985"/>
      </w:tblGrid>
      <w:tr w:rsidR="00046B52" w:rsidTr="00F81787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161">
              <w:rPr>
                <w:rFonts w:ascii="Times New Roman" w:hAnsi="Times New Roman" w:cs="Times New Roman"/>
                <w:b/>
                <w:bCs/>
              </w:rPr>
              <w:t>Наименование показателя в соответствии с формой ФСН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161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16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46B52" w:rsidTr="00F81787">
        <w:trPr>
          <w:trHeight w:val="25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Число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rPr>
          <w:trHeight w:val="14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Число учреждений, имеющих собственный 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87,5</w:t>
            </w:r>
          </w:p>
        </w:tc>
      </w:tr>
      <w:tr w:rsidR="00046B52" w:rsidTr="00F81787">
        <w:trPr>
          <w:trHeight w:val="16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Число учреждений, имеющих актовый зал или лекционный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25</w:t>
            </w:r>
          </w:p>
        </w:tc>
      </w:tr>
      <w:tr w:rsidR="00046B52" w:rsidTr="00F81787">
        <w:trPr>
          <w:trHeight w:val="18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Число учреждений, имеющих столовую или зал для приема пищи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rPr>
          <w:trHeight w:val="15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Число учреждений, имеющих библиотеки (книжный фонд)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rPr>
          <w:trHeight w:val="19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Число учреждений, здания которых требуют капитального ремонта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12,5</w:t>
            </w:r>
          </w:p>
        </w:tc>
      </w:tr>
      <w:tr w:rsidR="00046B52" w:rsidTr="00F81787">
        <w:trPr>
          <w:trHeight w:val="11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Число учреждений, здания которых находятся в аварийном состоянии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0</w:t>
            </w:r>
          </w:p>
        </w:tc>
      </w:tr>
      <w:tr w:rsidR="00046B52" w:rsidTr="00F81787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Число учреждений, оборудованных, водопроводом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Число учреждений, оборудованных, водоотведением (канализацией)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Число учреждений, оборудованных центральным отоплением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Число учреждений, подключенных к сети интернет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Число учреждений, имеющих собственный сайт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rPr>
          <w:trHeight w:val="31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Число учреждений, реализующих образовательные программы с использованием дистанционных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87,5</w:t>
            </w:r>
          </w:p>
        </w:tc>
      </w:tr>
      <w:tr w:rsidR="00046B52" w:rsidTr="00F81787">
        <w:trPr>
          <w:trHeight w:val="7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Число учреждений, имеющих автоматическую пожарную сигнализацию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rPr>
          <w:trHeight w:val="14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Число учреждений, имеющих дымовые </w:t>
            </w:r>
            <w:proofErr w:type="spellStart"/>
            <w:r w:rsidRPr="00203161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20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100</w:t>
            </w:r>
          </w:p>
        </w:tc>
      </w:tr>
      <w:tr w:rsidR="00046B52" w:rsidTr="00F81787">
        <w:trPr>
          <w:trHeight w:val="20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Число учреждений, имеющих пожарные краны и рукава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0</w:t>
            </w:r>
          </w:p>
        </w:tc>
      </w:tr>
      <w:tr w:rsidR="00046B52" w:rsidTr="00F81787">
        <w:trPr>
          <w:trHeight w:val="14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Число учреждений, в которых созданы условия для беспрепятственного доступа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203161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03161">
              <w:rPr>
                <w:rFonts w:ascii="Times New Roman" w:hAnsi="Times New Roman" w:cs="Times New Roman"/>
              </w:rPr>
              <w:t>87,5</w:t>
            </w:r>
          </w:p>
        </w:tc>
      </w:tr>
    </w:tbl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ind w:right="240"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</w:t>
      </w:r>
      <w:r w:rsidR="0032038F">
        <w:rPr>
          <w:rFonts w:ascii="Times New Roman CYR" w:hAnsi="Times New Roman CYR" w:cs="Times New Roman CYR"/>
          <w:sz w:val="28"/>
          <w:szCs w:val="28"/>
        </w:rPr>
        <w:t>льных учреждений составила 75%.</w:t>
      </w: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01.01.2025 года отсутствуют аварийные здания. Здание МБОУ Дзержинская СШ №1 требует капитального ремонта (всего 1 здание из 21), что составляет 4,7%.  </w:t>
      </w: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Приоритетным направлением деятельности образовательных учреждений района является сохранение и укрепление здоровья подрастающего поколения.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Доля детей первой и второй групп здоровья в общей численности, </w:t>
      </w:r>
      <w:r w:rsidR="00203161">
        <w:rPr>
          <w:rFonts w:ascii="Times New Roman CYR" w:hAnsi="Times New Roman CYR" w:cs="Times New Roman CYR"/>
          <w:sz w:val="28"/>
          <w:szCs w:val="28"/>
        </w:rPr>
        <w:t>обучающихся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общеобразовательных учреждениях, составила </w:t>
      </w:r>
      <w:r w:rsidR="0032038F">
        <w:rPr>
          <w:rFonts w:ascii="Times New Roman CYR" w:hAnsi="Times New Roman CYR" w:cs="Times New Roman CYR"/>
          <w:sz w:val="28"/>
          <w:szCs w:val="28"/>
          <w:highlight w:val="white"/>
        </w:rPr>
        <w:t>84,95%.</w:t>
      </w: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обучающихся в муниципальных общеобразовательных учреждениях, занимающихся во вторую смену, в общей численности, обучающихся в муниципальных общеобразовательных учреждениях, со</w:t>
      </w:r>
      <w:r w:rsidR="0020640B">
        <w:rPr>
          <w:rFonts w:ascii="Times New Roman CYR" w:hAnsi="Times New Roman CYR" w:cs="Times New Roman CYR"/>
          <w:sz w:val="28"/>
          <w:szCs w:val="28"/>
        </w:rPr>
        <w:t xml:space="preserve">ставила 4%. </w:t>
      </w:r>
      <w:r>
        <w:rPr>
          <w:rFonts w:ascii="Times New Roman CYR" w:hAnsi="Times New Roman CYR" w:cs="Times New Roman CYR"/>
          <w:sz w:val="28"/>
          <w:szCs w:val="28"/>
        </w:rPr>
        <w:t>(68 обучающихся из общего количества 1675 чел.)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Обучение во вторую смену осуществляют два общеобразовательных учреждения из 8 оказывающих образовательную услугу, за счет увеличения количества классов начальной школы.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Обучение в третью смену в общеобразовательных учреждениях района не осущ</w:t>
      </w:r>
      <w:r w:rsidR="0032038F">
        <w:rPr>
          <w:rFonts w:ascii="Times New Roman CYR" w:hAnsi="Times New Roman CYR" w:cs="Times New Roman CYR"/>
          <w:sz w:val="28"/>
          <w:szCs w:val="28"/>
        </w:rPr>
        <w:t>ествляется.</w:t>
      </w: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lastRenderedPageBreak/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По итогам 2024 года расходы бюджета муниципального образования на общее образование в расчете на одного обучающегося в муниципальных общеобразовательных учреждениях составили 68,09 тыс. рублей. </w:t>
      </w: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</w:t>
      </w:r>
      <w:r w:rsid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и детей данной возрастной групп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дополнительного образования в районе представлена тремя учреждениями дополнительного образования детей: МБОУ ДОД «Центр внешкольной работы», МБОУ ДОД спортивная школа «Триумф», МБОУ ДОД «Дзержинская школа искусств», находящихся в ведении органа управления культуры, (учащиеся школы искусств на онлайн платформе дополнительного образования «Навигатор»  не зарегистрированы),  а также учреждениями  МБОУ Дзержинская СШ № 1. МБОУ Дзержинская СШ № 2,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Курайская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Усольская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Ершинская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 и МБДОУ Орловской СШ филиал МБОУ Дзержинская СШ № 1,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Нижнетанайская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 филиал МБОУ Дзержинская СШ № 2, д/с № 3 «Тополек»,  и кружками и секциями на базе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учреждениях дополнительного образования и </w:t>
      </w:r>
      <w:r w:rsidR="00203161">
        <w:rPr>
          <w:rFonts w:ascii="Times New Roman CYR" w:hAnsi="Times New Roman CYR" w:cs="Times New Roman CYR"/>
          <w:sz w:val="28"/>
          <w:szCs w:val="28"/>
        </w:rPr>
        <w:t>в общеобразовательных учреждениях,</w:t>
      </w:r>
      <w:r>
        <w:rPr>
          <w:rFonts w:ascii="Times New Roman CYR" w:hAnsi="Times New Roman CYR" w:cs="Times New Roman CYR"/>
          <w:sz w:val="28"/>
          <w:szCs w:val="28"/>
        </w:rPr>
        <w:t xml:space="preserve"> имеющих лицензию на дополнительное образование в объединениях технического творчества, спортивного, культурологического, социально-педагогического, естественнонаучного и художественно-эстетического творчес</w:t>
      </w:r>
      <w:r w:rsidR="00DF08F5">
        <w:rPr>
          <w:rFonts w:ascii="Times New Roman CYR" w:hAnsi="Times New Roman CYR" w:cs="Times New Roman CYR"/>
          <w:sz w:val="28"/>
          <w:szCs w:val="28"/>
        </w:rPr>
        <w:t>тва занимаются 1998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 зарегистрированных на онлайн платформе дополнительного образования «Навигатор».  Существующая в районе система дополнительного образования обеспечивает занятость </w:t>
      </w:r>
      <w:r w:rsidR="00DF08F5">
        <w:rPr>
          <w:rFonts w:ascii="Times New Roman CYR" w:hAnsi="Times New Roman CYR" w:cs="Times New Roman CYR"/>
          <w:sz w:val="28"/>
          <w:szCs w:val="28"/>
        </w:rPr>
        <w:t>87,94</w:t>
      </w:r>
      <w:bookmarkStart w:id="0" w:name="_GoBack"/>
      <w:bookmarkEnd w:id="0"/>
      <w:r w:rsidR="0032038F">
        <w:rPr>
          <w:rFonts w:ascii="Times New Roman CYR" w:hAnsi="Times New Roman CYR" w:cs="Times New Roman CYR"/>
          <w:sz w:val="28"/>
          <w:szCs w:val="28"/>
        </w:rPr>
        <w:t xml:space="preserve">% школьников. 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Default="00046B52" w:rsidP="0032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Культура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32038F" w:rsidRDefault="00046B52" w:rsidP="0032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2024 году сеть муниципальных учреждений культуры состояла из 45 учреждений, в том числе 23 учреждения культурно-досугового типа, 20 библиотек, 1 музей, 1 детская школа искусств.  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За счёт средств государственной программы «Развитие культуры и туризма» господдержку получили два лучших муниципальных учреждения культуры: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Улюкольское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обособленное подразделение МБУК «МКС» </w:t>
      </w:r>
      <w:r w:rsidR="00203161">
        <w:rPr>
          <w:rFonts w:ascii="Times New Roman CYR" w:hAnsi="Times New Roman CYR" w:cs="Times New Roman CYR"/>
          <w:sz w:val="28"/>
          <w:szCs w:val="28"/>
        </w:rPr>
        <w:t>и Модельная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детская библиотека. </w:t>
      </w:r>
    </w:p>
    <w:p w:rsidR="00046B52" w:rsidRDefault="00046B52" w:rsidP="0020640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МБОУ «Дзержинская детская школа искусств» получила субсидию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сумме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3 720 910 рублей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МБУК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клубная система» Дзержинского района Красноярского края получила субсидию на обеспечение развития и укрепления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материально-технической базы домов культуры в населенных пунктах с числом жителей до 50 тысяч человек в размере 2 021 тыс. рублей. 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2024 году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Межпоселенческая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библиотека выиграла в конкурсе на создание модельных муниципальных библиотек в рамках национального проекта «Семья» на сумму 15 000 тыс. рублей. В 2025 году будет модернизирована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библиотека. В ходе модернизации библиотеки пройдёт перепланировка помещений библиотеки, будет оборудовано санитарно-гигиеническое помещение (за счет средств местного бюджета). Выделятся помещения для молодёжи (это помещение для проведения мероприятий и выдачи литературы, со своим фондом (Молодёжный квартал), а также помещение под студию звукозаписи. Все помещения будут оборудованы в современном формате, с новой, удобной мебелью. Будет приобретено мультимедийное оборудование. Обновится фонд библиотеки новыми изданиями: отраслевыми, художественными, справочными.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Из бюджета муниципального образования в 2024 году выделено 198,8 тыс. рублей на приобретение периодических изданий. В рамках долгосрочных целевых программ по развитию культуры в 2024 году на комплектование библиотек из краевого бюджета было выделено 353,5 тыс. рублей, средства федерального бюджета составили 223,9 тыс. рублей, из них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местного бюджета составило 73 тыс.  рублей. 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На базе библиотеки работает Местная Общественная Организация «Центр поддержки общественных инициатив Дзержинского района», благодаря центру было написано много проектов от различных организаций. 4 проекта Центром выиграно.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Модельной детской библиотекой от Местной Общественной Организации «Центр поддержки общественных инициатив Дзержинского </w:t>
      </w:r>
      <w:r w:rsidR="00203161">
        <w:rPr>
          <w:rFonts w:ascii="Times New Roman CYR" w:hAnsi="Times New Roman CYR" w:cs="Times New Roman CYR"/>
          <w:color w:val="000000"/>
          <w:sz w:val="28"/>
          <w:szCs w:val="28"/>
        </w:rPr>
        <w:t>района» выигран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03161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проект </w:t>
      </w:r>
      <w:r w:rsidR="00203161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Площадка семейного досуга «От сердца к сердцу»,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(Гранты Красноярского края для некоммерческих организаций «Партнерство» в номинации </w:t>
      </w:r>
      <w:r>
        <w:rPr>
          <w:rFonts w:ascii="Times New Roman CYR" w:hAnsi="Times New Roman CYR" w:cs="Times New Roman CYR"/>
          <w:sz w:val="28"/>
          <w:szCs w:val="28"/>
        </w:rPr>
        <w:t>«Поддержка семьи, материнства, отцовства и детства»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 xml:space="preserve">Главной задачей проекта является создание условий для совместного отдыха, времяпровождения всеми членами семьи.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Сумма проекта составила 587,242 тыс. рублей. </w:t>
      </w:r>
      <w:r>
        <w:rPr>
          <w:rFonts w:ascii="Times New Roman CYR" w:hAnsi="Times New Roman CYR" w:cs="Times New Roman CYR"/>
          <w:sz w:val="28"/>
          <w:szCs w:val="28"/>
        </w:rPr>
        <w:t>Реализация проекта: 01.07.2024 – 17.08.2025 г.</w:t>
      </w:r>
    </w:p>
    <w:p w:rsidR="00046B52" w:rsidRPr="0032038F" w:rsidRDefault="00046B52" w:rsidP="0020640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Межпоселенческой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03161">
        <w:rPr>
          <w:rFonts w:ascii="Times New Roman CYR" w:hAnsi="Times New Roman CYR" w:cs="Times New Roman CYR"/>
          <w:color w:val="000000"/>
          <w:sz w:val="28"/>
          <w:szCs w:val="28"/>
        </w:rPr>
        <w:t>библиотекой выигран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молодёжный проект «Территория Красноярский край» проект </w:t>
      </w:r>
      <w:r>
        <w:rPr>
          <w:rFonts w:ascii="Times New Roman CYR" w:hAnsi="Times New Roman CYR" w:cs="Times New Roman CYR"/>
          <w:sz w:val="28"/>
          <w:szCs w:val="28"/>
        </w:rPr>
        <w:t xml:space="preserve">«Умей сказать НЕТ». В рамках проекта запланировано проведение занятий по профилактике употребления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психоактивных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веществ, наркомании, алкоголизма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табакокурения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Сумма проекта -  1500 тыс. рублей.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клубами и учреждениями клубного типа;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Уровень фактической обеспеченности клубами и учреждениями клубного типа в 2024 году составляет 100%. 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2038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библиотеками;</w:t>
      </w:r>
    </w:p>
    <w:p w:rsidR="00046B52" w:rsidRPr="0032038F" w:rsidRDefault="00046B52" w:rsidP="0020640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Обеспеченность библиотеками соответствует нормативу - 100%.</w:t>
      </w:r>
    </w:p>
    <w:p w:rsidR="00046B52" w:rsidRPr="00415F29" w:rsidRDefault="00415F29" w:rsidP="0020640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парками культуры и отдыха;</w:t>
      </w:r>
    </w:p>
    <w:p w:rsidR="00046B52" w:rsidRPr="00850E2E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Парков культуры и о</w:t>
      </w:r>
      <w:r w:rsidR="00850E2E">
        <w:rPr>
          <w:rFonts w:ascii="Times New Roman CYR" w:hAnsi="Times New Roman CYR" w:cs="Times New Roman CYR"/>
          <w:sz w:val="28"/>
          <w:szCs w:val="28"/>
        </w:rPr>
        <w:t>тдыха на территории района нет.</w:t>
      </w:r>
    </w:p>
    <w:p w:rsidR="00046B52" w:rsidRPr="00415F29" w:rsidRDefault="00046B52" w:rsidP="00415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15F2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lastRenderedPageBreak/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Материально-техническая база муниципальных учреждений культуры и образовательных организаций в области культуры характеризуется высокой степенью износа. По состоянию на 01.01.2025г. капитального ремонта требуют 17 зданий из 27. Учреждения культуры, требующие капитального ремонта: 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Дзержинский РДК 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Дзержинский музей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Ершинский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Чурюковский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Николаевский СК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Батовский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Канарайский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Макаровский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Кондратьевский СК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Таловский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СК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Дзержинская взрослая библиотека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Михайловский СК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Нижнетанайский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046B52" w:rsidRDefault="00046B52" w:rsidP="0004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ДШИ</w:t>
      </w:r>
    </w:p>
    <w:p w:rsidR="00046B52" w:rsidRPr="00415F29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Доля муниципальных учреждений культуры, здания которых находятся в аварийном состоянии или требуют капиталь</w:t>
      </w:r>
      <w:r w:rsidR="00415F29">
        <w:rPr>
          <w:rFonts w:ascii="Times New Roman CYR" w:hAnsi="Times New Roman CYR" w:cs="Times New Roman CYR"/>
          <w:sz w:val="28"/>
          <w:szCs w:val="28"/>
        </w:rPr>
        <w:t xml:space="preserve">ного ремонта, составляет 63%.  </w:t>
      </w:r>
    </w:p>
    <w:p w:rsidR="00046B52" w:rsidRPr="00415F29" w:rsidRDefault="00046B52" w:rsidP="00415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15F2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046B52" w:rsidRDefault="00046B52" w:rsidP="0020640B">
      <w:pPr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 собственности муниципального образования Дзержинский район находится 7 объектов культурного наследия:</w:t>
      </w:r>
    </w:p>
    <w:p w:rsidR="00046B52" w:rsidRDefault="00046B52" w:rsidP="0020640B">
      <w:pPr>
        <w:autoSpaceDE w:val="0"/>
        <w:autoSpaceDN w:val="0"/>
        <w:adjustRightInd w:val="0"/>
        <w:spacing w:after="0" w:line="252" w:lineRule="auto"/>
        <w:ind w:left="140" w:right="-1" w:firstLine="64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1. Братская могила 12 партизан, погибших в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Улюкольском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бою в декабре 1919 г.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Улюколь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46B52" w:rsidRDefault="00046B52" w:rsidP="0020640B">
      <w:pPr>
        <w:autoSpaceDE w:val="0"/>
        <w:autoSpaceDN w:val="0"/>
        <w:adjustRightInd w:val="0"/>
        <w:spacing w:after="0" w:line="252" w:lineRule="auto"/>
        <w:ind w:left="140" w:right="-1" w:firstLine="30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2. Братская могила 2 жителей села, расстрелянных колчаковцами за связь с партизанами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Чурюково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46B52" w:rsidRDefault="00046B52" w:rsidP="0020640B">
      <w:pPr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3. Братская могила 3 партизан, расстрелянных колчаковцами в 1919 г.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Курай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46B52" w:rsidRDefault="00046B52" w:rsidP="0020640B">
      <w:pPr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4. Братская могила девяти жителей села Дзержинского, расстрелянных карательным отрядом за связь с партизанами в феврале 1919 года, село Дзержинское;</w:t>
      </w:r>
    </w:p>
    <w:p w:rsidR="00046B52" w:rsidRDefault="00046B52" w:rsidP="0020640B">
      <w:pPr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5. Братская могила одиннадцати партизан из села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Денисово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расстрелянных колчаковцами в 1919 г.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Денисово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46B52" w:rsidRDefault="00046B52" w:rsidP="0020640B">
      <w:pPr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         6. Братская могила партизан и жителей села, погибших в борьбе за Советскую власть в 1919 г. 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Канарай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46B52" w:rsidRDefault="00046B52" w:rsidP="0020640B">
      <w:pPr>
        <w:autoSpaceDE w:val="0"/>
        <w:autoSpaceDN w:val="0"/>
        <w:adjustRightInd w:val="0"/>
        <w:spacing w:after="0" w:line="252" w:lineRule="auto"/>
        <w:ind w:right="-1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7. Могила двух партизан, погибших в бою под д.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Улюколь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колчаковским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отрядом 19 декабря 1919 г. 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Шеломки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046B52" w:rsidRPr="00415F29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</w:t>
      </w:r>
      <w:r w:rsidR="00415F29">
        <w:rPr>
          <w:rFonts w:ascii="Times New Roman CYR" w:hAnsi="Times New Roman CYR" w:cs="Times New Roman CYR"/>
          <w:sz w:val="28"/>
          <w:szCs w:val="28"/>
        </w:rPr>
        <w:t>униципальной собственности нет.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Default="00046B52" w:rsidP="00415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Физическая культура и спорт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415F29" w:rsidRDefault="00046B52" w:rsidP="0020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15F2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2024 года работа в районе была направлена на привлечение населения к систематическим занятиям физической культурой и спортом, сохранение материальной базы спорта. Такая деятельность положительно повлияла на достижение основных целевых показателей отрасли.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Принимаемые в районе меры по укреплению материально-спортивной базы и совершенствованию спортивно-оздоровительной работы, повышение качества работы спортивной школы, позволили в значительной степени улучшить физкультурно-спортивную работу в школах и по месту жительства среди детей, подростков, молодежи и взрослого населения. В последние годы наблюдается незначительный, но стабильный рост по основным показателям регионального проекта «Спорт – норма жизни».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Проведя сравнительный анализ статистических наблюдений по Дзержинскому району за 2024 и 2023 год, можно отметить следующее: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 2024 году увеличилось количество штатных работников физической культуры и спорта до 49 чел. (в 2023г. - 42 чел.), данный показатель увеличился по причине: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увеличения на 1 учителя физкультуры в МОБУ Дзержинская СШ № 1;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увеличения на 1 тренера-преподавателя в МБУ ДО СШ «Триумф», так же были учтены директор, заместитель по УМР и педагог организатор;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увеличения на 1 педагога по фитнесу в МБУ ДО «Центр внешкольной работы»;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 графе «Другие работники» был учтен 1 руководитель центра тестирования ГТО в Дзержинском районе.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В 2024 году увеличилась численность занимающихся физической культурой и спортом в 2024г. - 6 300 чел. (59,73%), в 2023г. - 6 030 чел., (56,05%), данный показатель увеличился на 3,68% по причине: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увеличения численности занимающихся физической культурой и спортом в Дзержинском филиале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техникум отраслевых технологий и сельского хозяйства» на 1 чел.</w:t>
      </w:r>
      <w:r w:rsidR="00AC36DC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увеличения численности занимающихся физической культурой и спортом в 17 учреждениях и организациях Дзержинского района в 2024</w:t>
      </w:r>
      <w:r w:rsidR="00AC36DC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- 1384 чел. (в 2023</w:t>
      </w:r>
      <w:r w:rsidR="00AC36D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C36D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году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917 чел.), данный показатель увеличился на 467 чел. по причине внедрения корпоративного спорта в уч</w:t>
      </w:r>
      <w:r w:rsidR="00AC36DC">
        <w:rPr>
          <w:rFonts w:ascii="Times New Roman CYR" w:hAnsi="Times New Roman CYR" w:cs="Times New Roman CYR"/>
          <w:color w:val="000000"/>
          <w:sz w:val="28"/>
          <w:szCs w:val="28"/>
        </w:rPr>
        <w:t>реждениях и организациях района;</w:t>
      </w:r>
    </w:p>
    <w:p w:rsidR="00046B52" w:rsidRDefault="00AC36DC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</w:t>
      </w:r>
      <w:r w:rsidR="00046B52">
        <w:rPr>
          <w:rFonts w:ascii="Times New Roman CYR" w:hAnsi="Times New Roman CYR" w:cs="Times New Roman CYR"/>
          <w:color w:val="000000"/>
          <w:sz w:val="28"/>
          <w:szCs w:val="28"/>
        </w:rPr>
        <w:t>величения численности занимающихся физической культурой и спортом в физкультурно-спортивном клубе «Мечта» в 2024г. - 1068 чел. (в 2023г. - 1053 чел.), данный показатель увеличился на 15 чел. по причине работы бильярдного клуба «Мечта» на базе физкультурно-спортивного клуба.</w:t>
      </w:r>
    </w:p>
    <w:p w:rsidR="00F81787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Увеличения численности занимающихся физической культурой и спортом в других учреждениях, таких как </w:t>
      </w:r>
      <w:r>
        <w:rPr>
          <w:rFonts w:ascii="Times New Roman CYR" w:hAnsi="Times New Roman CYR" w:cs="Times New Roman CYR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«Дзержинский»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Общественная организация «Всероссийское общество инвалидов Дзержинского района» на 47 человек.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В 2024 году уровень обеспеченности граждан спортивными сооружениями исходя из единовременной пропускной способности объектов спорта составила 56,47%, в 2023 году 55,14%, данный показатель увеличился на 1,33% по причине: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увеличения числа спортивных сооружений в 2024г. - 48 ед. (в 2023г. - 47 ед.), данный показатель увеличился на 1 ед. по причине устройства дистанции (велодорожка) по адресу: с. Дзержинское, ул. Чехова 40, в рамках субсидии на оснащение объектов спортивной инфраструктуры спортивно-технологическим оборудованием.</w:t>
      </w:r>
    </w:p>
    <w:p w:rsidR="00046B52" w:rsidRPr="00415F29" w:rsidRDefault="00046B52" w:rsidP="002064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Анализ основных показателей говорит о том, что принимаемые в районе меры по развитию физической культуры и спорта приносят по</w:t>
      </w:r>
      <w:r w:rsidR="00415F29">
        <w:rPr>
          <w:rFonts w:ascii="Times New Roman CYR" w:hAnsi="Times New Roman CYR" w:cs="Times New Roman CYR"/>
          <w:color w:val="000000"/>
          <w:sz w:val="28"/>
          <w:szCs w:val="28"/>
        </w:rPr>
        <w:t>ложительные результаты.</w:t>
      </w:r>
    </w:p>
    <w:p w:rsidR="00046B52" w:rsidRPr="00415F29" w:rsidRDefault="00046B52" w:rsidP="00415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15F2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целом по району доля обучающихся, систематически занимающихся физической культурой и спортом, в общей численности, обучающихся в 2024 году в сравнении с 2023 годам не изменилась </w:t>
      </w:r>
      <w:r w:rsidR="00F81787">
        <w:rPr>
          <w:rFonts w:ascii="Times New Roman CYR" w:hAnsi="Times New Roman CYR" w:cs="Times New Roman CYR"/>
          <w:sz w:val="28"/>
          <w:szCs w:val="28"/>
        </w:rPr>
        <w:t>и составила</w:t>
      </w:r>
      <w:r>
        <w:rPr>
          <w:rFonts w:ascii="Times New Roman CYR" w:hAnsi="Times New Roman CYR" w:cs="Times New Roman CYR"/>
          <w:sz w:val="28"/>
          <w:szCs w:val="28"/>
        </w:rPr>
        <w:t xml:space="preserve"> 100%.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415F29" w:rsidRDefault="00046B52" w:rsidP="00415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Default="00046B52" w:rsidP="00F81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415F2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24. Общая площадь жилых помещений, приходящаяся в среднем на одного жителя</w:t>
      </w:r>
    </w:p>
    <w:p w:rsidR="0020640B" w:rsidRPr="00415F29" w:rsidRDefault="0020640B" w:rsidP="00F81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Красноярскстата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2024 году жилищный фонд района увеличился на 1,4% по сравнению с 2023 годом и составил 353,330 тыс. кв. метров. Введено в эксплуатацию 1616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жилья. В 2025 году планируется ввести 1700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жилья, в 2026 году -1785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в 2027  году- 1874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1232"/>
        <w:gridCol w:w="1232"/>
        <w:gridCol w:w="1244"/>
        <w:gridCol w:w="1120"/>
        <w:gridCol w:w="1243"/>
      </w:tblGrid>
      <w:tr w:rsidR="00046B52" w:rsidTr="00F81787">
        <w:trPr>
          <w:trHeight w:val="315"/>
        </w:trPr>
        <w:tc>
          <w:tcPr>
            <w:tcW w:w="10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B52" w:rsidRDefault="00B4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046B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Расчетная таблица к показателю:</w:t>
            </w:r>
          </w:p>
        </w:tc>
      </w:tr>
      <w:tr w:rsidR="00046B52" w:rsidTr="00F81787">
        <w:trPr>
          <w:trHeight w:val="600"/>
        </w:trPr>
        <w:tc>
          <w:tcPr>
            <w:tcW w:w="10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24. Общая площадь жилых помещений, приходящаяся в среднем на одного жителя, - всего</w:t>
            </w:r>
          </w:p>
        </w:tc>
      </w:tr>
      <w:tr w:rsidR="00046B52" w:rsidTr="00F81787">
        <w:trPr>
          <w:trHeight w:val="518"/>
        </w:trPr>
        <w:tc>
          <w:tcPr>
            <w:tcW w:w="39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046B52" w:rsidTr="00F81787">
        <w:trPr>
          <w:trHeight w:val="600"/>
        </w:trPr>
        <w:tc>
          <w:tcPr>
            <w:tcW w:w="39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факт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2025 оценка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2027 прогноз</w:t>
            </w:r>
          </w:p>
        </w:tc>
      </w:tr>
      <w:tr w:rsidR="00046B52" w:rsidTr="00F81787">
        <w:trPr>
          <w:trHeight w:val="900"/>
        </w:trPr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1. Общая площадь жилых помещений,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348 300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353 330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355 030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356 815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358 689</w:t>
            </w:r>
          </w:p>
        </w:tc>
      </w:tr>
      <w:tr w:rsidR="00046B52" w:rsidTr="00F81787">
        <w:trPr>
          <w:trHeight w:val="600"/>
        </w:trPr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2. Введено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кв.м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2 534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1 616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1 785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1 874</w:t>
            </w:r>
          </w:p>
        </w:tc>
      </w:tr>
      <w:tr w:rsidR="00046B52" w:rsidTr="00F81787">
        <w:trPr>
          <w:trHeight w:val="600"/>
        </w:trPr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3. Выбыло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кв.м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046B52" w:rsidTr="00F81787">
        <w:trPr>
          <w:trHeight w:val="900"/>
        </w:trPr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</w:t>
            </w:r>
            <w:r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11 389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11 177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11 028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10 892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10 764</w:t>
            </w:r>
          </w:p>
        </w:tc>
      </w:tr>
      <w:tr w:rsidR="00046B52" w:rsidTr="00F81787">
        <w:trPr>
          <w:trHeight w:val="855"/>
        </w:trPr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30,58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31,61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32,19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32,76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33,32</w:t>
            </w:r>
          </w:p>
        </w:tc>
      </w:tr>
    </w:tbl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46B52" w:rsidRPr="00415F29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15F2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24.1. в том числе введенная в действие за один год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отчетный период введено 1616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общей площади жилья, что составило 63,8 % к уровню 2023 года.   Застройка ведется индивидуальными застройщиками, носит заявительный характер. Введено 13 индивидуальных жилых домов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F81787">
        <w:rPr>
          <w:rFonts w:ascii="Times New Roman CYR" w:hAnsi="Times New Roman CYR" w:cs="Times New Roman CYR"/>
          <w:sz w:val="28"/>
          <w:szCs w:val="28"/>
        </w:rPr>
        <w:t>за 2024 год,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составила 31,61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46B52" w:rsidRDefault="00046B52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Общая площадь жилых помещений, приходящаяся в среднем на одного жителя, введенная в действие за 2024 год составила 0,14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Показатель понизился к уровню 2023 года.</w:t>
      </w:r>
    </w:p>
    <w:p w:rsidR="0020640B" w:rsidRDefault="0020640B" w:rsidP="0020640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3"/>
        <w:gridCol w:w="895"/>
        <w:gridCol w:w="895"/>
        <w:gridCol w:w="939"/>
        <w:gridCol w:w="1352"/>
        <w:gridCol w:w="1276"/>
      </w:tblGrid>
      <w:tr w:rsidR="00046B52" w:rsidTr="00B4138D">
        <w:trPr>
          <w:trHeight w:val="315"/>
        </w:trPr>
        <w:tc>
          <w:tcPr>
            <w:tcW w:w="10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B52" w:rsidRDefault="00B4138D" w:rsidP="00B4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046B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Расчетная таблица к показателю:</w:t>
            </w:r>
          </w:p>
        </w:tc>
      </w:tr>
      <w:tr w:rsidR="00046B52" w:rsidTr="00B4138D">
        <w:trPr>
          <w:trHeight w:val="769"/>
        </w:trPr>
        <w:tc>
          <w:tcPr>
            <w:tcW w:w="10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24.1. Общая площадь жилых помещений, введенная в действие за год, в среднем на одного жителя края </w:t>
            </w:r>
          </w:p>
        </w:tc>
      </w:tr>
      <w:tr w:rsidR="00046B52" w:rsidTr="00B4138D">
        <w:trPr>
          <w:trHeight w:val="518"/>
        </w:trPr>
        <w:tc>
          <w:tcPr>
            <w:tcW w:w="4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046B52" w:rsidTr="00B4138D">
        <w:trPr>
          <w:trHeight w:val="600"/>
        </w:trPr>
        <w:tc>
          <w:tcPr>
            <w:tcW w:w="4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факт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2025 оценка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2027 прогноз</w:t>
            </w:r>
          </w:p>
        </w:tc>
      </w:tr>
      <w:tr w:rsidR="00046B52" w:rsidTr="00B4138D">
        <w:trPr>
          <w:trHeight w:val="300"/>
        </w:trPr>
        <w:tc>
          <w:tcPr>
            <w:tcW w:w="4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 Введено всего,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в том числе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2 534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1 616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1 700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1 874</w:t>
            </w:r>
          </w:p>
        </w:tc>
      </w:tr>
      <w:tr w:rsidR="00046B52" w:rsidTr="00B4138D">
        <w:trPr>
          <w:trHeight w:val="300"/>
        </w:trPr>
        <w:tc>
          <w:tcPr>
            <w:tcW w:w="4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1.1. индивидуальное жилищное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кв.м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2 534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1 616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1 700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1 874</w:t>
            </w:r>
          </w:p>
        </w:tc>
      </w:tr>
      <w:tr w:rsidR="00046B52" w:rsidTr="00B4138D">
        <w:trPr>
          <w:trHeight w:val="300"/>
        </w:trPr>
        <w:tc>
          <w:tcPr>
            <w:tcW w:w="4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1.2. многоквартирное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кв.м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046B52" w:rsidTr="00B4138D">
        <w:trPr>
          <w:trHeight w:val="900"/>
        </w:trPr>
        <w:tc>
          <w:tcPr>
            <w:tcW w:w="4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11 489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11 283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11 103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10 828</w:t>
            </w:r>
          </w:p>
        </w:tc>
      </w:tr>
      <w:tr w:rsidR="00046B52" w:rsidTr="00B4138D">
        <w:trPr>
          <w:trHeight w:val="855"/>
        </w:trPr>
        <w:tc>
          <w:tcPr>
            <w:tcW w:w="4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0,17</w:t>
            </w:r>
          </w:p>
        </w:tc>
      </w:tr>
    </w:tbl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0640B" w:rsidRDefault="0020640B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</w:p>
    <w:p w:rsidR="0020640B" w:rsidRDefault="0020640B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</w:p>
    <w:p w:rsidR="00046B52" w:rsidRPr="00415F29" w:rsidRDefault="00046B52" w:rsidP="0020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15F2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lastRenderedPageBreak/>
        <w:t>25. Площадь земельных участков, предоставленных для строительства, в расчете на 10 тыс. человек населения</w:t>
      </w:r>
    </w:p>
    <w:p w:rsidR="00046B52" w:rsidRPr="00415F29" w:rsidRDefault="00046B52" w:rsidP="0020640B">
      <w:pPr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Площадь земельных участков, предоставленных для строительства, в расчете на 10 тыс. человек </w:t>
      </w:r>
      <w:r w:rsidR="00B4138D">
        <w:rPr>
          <w:rFonts w:ascii="Times New Roman CYR" w:hAnsi="Times New Roman CYR" w:cs="Times New Roman CYR"/>
          <w:sz w:val="28"/>
          <w:szCs w:val="28"/>
          <w:u w:color="FF0000"/>
        </w:rPr>
        <w:t>населения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2023 году составляет 1,</w:t>
      </w:r>
      <w:r w:rsidR="00415F29">
        <w:rPr>
          <w:rFonts w:ascii="Times New Roman CYR" w:hAnsi="Times New Roman CYR" w:cs="Times New Roman CYR"/>
          <w:sz w:val="28"/>
          <w:szCs w:val="28"/>
          <w:u w:color="FF0000"/>
        </w:rPr>
        <w:t xml:space="preserve">84 га, в 2024 году -  1,46 га. </w:t>
      </w:r>
    </w:p>
    <w:p w:rsidR="00046B52" w:rsidRPr="00415F29" w:rsidRDefault="00046B52" w:rsidP="00B4138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415F2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046B52" w:rsidRDefault="00046B52" w:rsidP="0020640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Для строительства индивидуальных жилых домов на территории с. Дзержинское </w:t>
      </w:r>
      <w:r w:rsidR="00B4138D">
        <w:rPr>
          <w:rFonts w:ascii="Times New Roman CYR" w:hAnsi="Times New Roman CYR" w:cs="Times New Roman CYR"/>
          <w:sz w:val="28"/>
          <w:szCs w:val="28"/>
          <w:u w:color="FF0000"/>
        </w:rPr>
        <w:t>осваивались свободные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от застройки </w:t>
      </w:r>
      <w:r w:rsidR="00B4138D">
        <w:rPr>
          <w:rFonts w:ascii="Times New Roman CYR" w:hAnsi="Times New Roman CYR" w:cs="Times New Roman CYR"/>
          <w:sz w:val="28"/>
          <w:szCs w:val="28"/>
          <w:u w:color="FF0000"/>
        </w:rPr>
        <w:t>территории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установленных границах населенного пункта на южной и юго-западной окраинах существующей застройки с. Дзержинское. В 2022-2024 годах осваивались новые участки в северной части с. Дзержинское, практически все земельные участки были предоставлены многодетным семьям.  Земельные участки предоставляются по заявлениям.</w:t>
      </w:r>
    </w:p>
    <w:p w:rsidR="00046B52" w:rsidRDefault="00046B52" w:rsidP="0020640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F81787">
        <w:rPr>
          <w:rFonts w:ascii="Times New Roman CYR" w:hAnsi="Times New Roman CYR" w:cs="Times New Roman CYR"/>
          <w:sz w:val="28"/>
          <w:szCs w:val="28"/>
          <w:u w:color="FF0000"/>
        </w:rPr>
        <w:t>В период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2025-2026 годов планируется строительство 16 квартирного жилого дома, строительство водозабора, а </w:t>
      </w:r>
      <w:r w:rsidR="00F81787">
        <w:rPr>
          <w:rFonts w:ascii="Times New Roman CYR" w:hAnsi="Times New Roman CYR" w:cs="Times New Roman CYR"/>
          <w:sz w:val="28"/>
          <w:szCs w:val="28"/>
          <w:u w:color="FF0000"/>
        </w:rPr>
        <w:t>также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строительство объектов инженерной и транспортной инфраструктур.</w:t>
      </w:r>
    </w:p>
    <w:p w:rsidR="00046B52" w:rsidRDefault="00046B52" w:rsidP="00B4138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372"/>
        <w:gridCol w:w="963"/>
        <w:gridCol w:w="959"/>
        <w:gridCol w:w="1526"/>
      </w:tblGrid>
      <w:tr w:rsidR="00046B52" w:rsidTr="00F81787">
        <w:trPr>
          <w:trHeight w:val="315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Расчетная таблица к показателям:</w:t>
            </w:r>
          </w:p>
        </w:tc>
      </w:tr>
      <w:tr w:rsidR="00046B52" w:rsidTr="00F81787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46B52" w:rsidTr="00F81787">
        <w:trPr>
          <w:trHeight w:val="600"/>
        </w:trPr>
        <w:tc>
          <w:tcPr>
            <w:tcW w:w="3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отчет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46B52" w:rsidTr="00F81787">
        <w:trPr>
          <w:trHeight w:val="60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2,11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1,65</w:t>
            </w:r>
          </w:p>
        </w:tc>
      </w:tr>
      <w:tr w:rsidR="00046B52" w:rsidTr="00F81787">
        <w:trPr>
          <w:trHeight w:val="349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1.1. для жилищного строительства (в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 для ИЖС), 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1,34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1,60</w:t>
            </w:r>
          </w:p>
        </w:tc>
      </w:tr>
      <w:tr w:rsidR="00046B52" w:rsidTr="00F81787">
        <w:trPr>
          <w:trHeight w:val="60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</w:tr>
      <w:tr w:rsidR="00046B52" w:rsidTr="00F81787">
        <w:trPr>
          <w:trHeight w:val="60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0,77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0,05</w:t>
            </w:r>
          </w:p>
        </w:tc>
      </w:tr>
      <w:tr w:rsidR="00046B52" w:rsidTr="00F81787">
        <w:trPr>
          <w:trHeight w:val="90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11 489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11 283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11 103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10 960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10 828</w:t>
            </w:r>
          </w:p>
        </w:tc>
      </w:tr>
      <w:tr w:rsidR="00046B52" w:rsidTr="00F81787">
        <w:trPr>
          <w:trHeight w:val="855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1,84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1,52</w:t>
            </w:r>
          </w:p>
        </w:tc>
      </w:tr>
      <w:tr w:rsidR="00046B52" w:rsidTr="00F81787">
        <w:trPr>
          <w:trHeight w:val="1425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1,48</w:t>
            </w:r>
          </w:p>
        </w:tc>
      </w:tr>
    </w:tbl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46B52" w:rsidRPr="00144B5D" w:rsidRDefault="00046B52" w:rsidP="0014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4B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20640B" w:rsidRDefault="00046B52" w:rsidP="0020640B">
      <w:pPr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="00F81787">
        <w:rPr>
          <w:rFonts w:ascii="Times New Roman CYR" w:hAnsi="Times New Roman CYR" w:cs="Times New Roman CYR"/>
          <w:sz w:val="28"/>
          <w:szCs w:val="28"/>
          <w:u w:color="FF0000"/>
        </w:rPr>
        <w:t>Случаев невыдачи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разрешения на ввод </w:t>
      </w:r>
      <w:r w:rsidR="00F81787">
        <w:rPr>
          <w:rFonts w:ascii="Times New Roman CYR" w:hAnsi="Times New Roman CYR" w:cs="Times New Roman CYR"/>
          <w:sz w:val="28"/>
          <w:szCs w:val="28"/>
          <w:u w:color="FF0000"/>
        </w:rPr>
        <w:t>в эксплуатацию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объектов жилищного </w:t>
      </w:r>
      <w:r w:rsidR="00F81787">
        <w:rPr>
          <w:rFonts w:ascii="Times New Roman CYR" w:hAnsi="Times New Roman CYR" w:cs="Times New Roman CYR"/>
          <w:sz w:val="28"/>
          <w:szCs w:val="28"/>
          <w:u w:color="FF0000"/>
        </w:rPr>
        <w:t>строительства -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течение 3 лет, иных объектов капитального строите</w:t>
      </w:r>
      <w:r w:rsidR="00144B5D">
        <w:rPr>
          <w:rFonts w:ascii="Times New Roman CYR" w:hAnsi="Times New Roman CYR" w:cs="Times New Roman CYR"/>
          <w:sz w:val="28"/>
          <w:szCs w:val="28"/>
          <w:u w:color="FF0000"/>
        </w:rPr>
        <w:t xml:space="preserve">льства -  в течение 5 </w:t>
      </w:r>
      <w:r w:rsidR="00F81787">
        <w:rPr>
          <w:rFonts w:ascii="Times New Roman CYR" w:hAnsi="Times New Roman CYR" w:cs="Times New Roman CYR"/>
          <w:sz w:val="28"/>
          <w:szCs w:val="28"/>
          <w:u w:color="FF0000"/>
        </w:rPr>
        <w:t>лет нет</w:t>
      </w:r>
      <w:r w:rsidR="00144B5D"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046B52" w:rsidRPr="0020640B" w:rsidRDefault="00046B52" w:rsidP="0020640B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144B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26.1. объектов жилищного строительства - в течение 3 лет</w:t>
      </w:r>
    </w:p>
    <w:p w:rsidR="00046B52" w:rsidRDefault="00046B52" w:rsidP="00046B52">
      <w:pPr>
        <w:autoSpaceDE w:val="0"/>
        <w:autoSpaceDN w:val="0"/>
        <w:adjustRightInd w:val="0"/>
        <w:spacing w:after="120" w:line="240" w:lineRule="auto"/>
        <w:ind w:right="12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Площадь земельных участков, предоставленных для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</w:t>
      </w:r>
      <w:r w:rsidRPr="0020640B">
        <w:rPr>
          <w:rFonts w:ascii="Times New Roman CYR" w:hAnsi="Times New Roman CYR" w:cs="Times New Roman CYR"/>
          <w:bCs/>
          <w:sz w:val="28"/>
          <w:szCs w:val="28"/>
          <w:u w:color="FF0000"/>
        </w:rPr>
        <w:t>3 лет</w:t>
      </w:r>
      <w:r w:rsidRPr="0020640B">
        <w:rPr>
          <w:rFonts w:ascii="Times New Roman CYR" w:hAnsi="Times New Roman CYR" w:cs="Times New Roman CYR"/>
          <w:sz w:val="28"/>
          <w:szCs w:val="28"/>
          <w:u w:color="FF0000"/>
        </w:rPr>
        <w:t>,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33"/>
        <w:gridCol w:w="1311"/>
        <w:gridCol w:w="2126"/>
        <w:gridCol w:w="1346"/>
        <w:gridCol w:w="1330"/>
        <w:gridCol w:w="1889"/>
      </w:tblGrid>
      <w:tr w:rsidR="00046B52" w:rsidTr="00EE394B">
        <w:trPr>
          <w:trHeight w:val="2162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Дата принятия решения о предоставлении земельного участка или подписания протокола о результатах торгов (конкурсов, аукционов)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с указанием вида использования (собственность, аренда)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выдачи разрешения на строитель-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ство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ство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Общая площадь </w:t>
            </w:r>
            <w:r w:rsidR="00B4138D">
              <w:rPr>
                <w:rFonts w:ascii="Times New Roman CYR" w:hAnsi="Times New Roman CYR" w:cs="Times New Roman CYR"/>
                <w:bCs/>
                <w:sz w:val="24"/>
                <w:szCs w:val="24"/>
                <w:u w:color="FF0000"/>
              </w:rPr>
              <w:t>жилищного строительст</w:t>
            </w:r>
            <w:r w:rsidRPr="00B4138D">
              <w:rPr>
                <w:rFonts w:ascii="Times New Roman CYR" w:hAnsi="Times New Roman CYR" w:cs="Times New Roman CYR"/>
                <w:bCs/>
                <w:sz w:val="24"/>
                <w:szCs w:val="24"/>
                <w:u w:color="FF0000"/>
              </w:rPr>
              <w:t xml:space="preserve">ва </w:t>
            </w:r>
            <w:r w:rsidRPr="00B4138D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на предоставленном земельном участке, </w:t>
            </w:r>
            <w:proofErr w:type="spellStart"/>
            <w:r w:rsidRPr="00B4138D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 w:rsidRPr="00B4138D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 (проектная)</w:t>
            </w:r>
          </w:p>
        </w:tc>
      </w:tr>
      <w:tr w:rsidR="00046B52" w:rsidTr="00EE394B">
        <w:trPr>
          <w:trHeight w:val="2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046B52" w:rsidTr="00EE394B">
        <w:trPr>
          <w:trHeight w:val="226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</w:tr>
    </w:tbl>
    <w:p w:rsidR="00046B52" w:rsidRPr="00144B5D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4B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26.2. иных объектов капитального строительства - в течение 5 лет</w:t>
      </w:r>
    </w:p>
    <w:p w:rsidR="00046B52" w:rsidRDefault="00046B52" w:rsidP="0020640B">
      <w:pPr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Площадь земельных участков, предоставленных для иных объектов капитального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33"/>
        <w:gridCol w:w="1391"/>
        <w:gridCol w:w="3118"/>
        <w:gridCol w:w="1621"/>
        <w:gridCol w:w="1872"/>
      </w:tblGrid>
      <w:tr w:rsidR="00046B52" w:rsidTr="00EE394B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Площадь земельных участков,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 с указанием вида использования (собственность, аренда)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выдачи разрешения на строительство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строительство</w:t>
            </w:r>
          </w:p>
        </w:tc>
      </w:tr>
      <w:tr w:rsidR="00046B52" w:rsidTr="00EE394B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046B52" w:rsidTr="00EE394B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</w:tr>
    </w:tbl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46B52" w:rsidRDefault="00046B52" w:rsidP="0014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VII. Жилищно-коммунальное хозяйство</w:t>
      </w:r>
    </w:p>
    <w:p w:rsidR="00046B52" w:rsidRDefault="00046B52" w:rsidP="0014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46B52" w:rsidRDefault="00046B52" w:rsidP="0025789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Ключевыми задачами отрасли являются повышение эксплуатационной надёжности объектов коммунальной инфраструктуры и обеспечение доступности жилищно-коммунальных услуг для населения района, а также формирование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конкурентной среды в сфере жилищно-коммунального хозяйства.</w:t>
      </w:r>
    </w:p>
    <w:p w:rsidR="00046B52" w:rsidRDefault="00046B52" w:rsidP="0025789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соответствии с Жилищным кодексом Российской Федерации собственники помещений в многоквартирном доме обязаны выбрать один из способов управления многоквартирным домом: непосредственное управление; управление товариществом собственников жилья, или жилищным кооперативом, или иным специализированным потребительским кооперативом; управление управляющей организацией.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46B52" w:rsidRDefault="00046B52" w:rsidP="0014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</w:pPr>
      <w:r w:rsidRPr="00144B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70092E" w:rsidRPr="00144B5D" w:rsidRDefault="0070092E" w:rsidP="0014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</w:p>
    <w:p w:rsidR="0070092E" w:rsidRPr="00144B5D" w:rsidRDefault="00046B52" w:rsidP="0070092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Общее число многоквартирных домов, в которых собственники помещений выбрали и реализуют способ управления многоквартирными домами, в районе равен 14 ед., в том числе: непосредственное управление собственниками помещений в многоквартирном доме - 14 ед., что составляет 100% </w:t>
      </w:r>
      <w:r w:rsidR="00144B5D">
        <w:rPr>
          <w:rFonts w:ascii="Times New Roman CYR" w:hAnsi="Times New Roman CYR" w:cs="Times New Roman CYR"/>
          <w:sz w:val="28"/>
          <w:szCs w:val="28"/>
          <w:u w:color="FF0000"/>
        </w:rPr>
        <w:t>от числа многоквартирных домов.</w:t>
      </w:r>
    </w:p>
    <w:p w:rsidR="00046B52" w:rsidRPr="00144B5D" w:rsidRDefault="00046B52" w:rsidP="0014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4B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144B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046B52" w:rsidRDefault="00046B52" w:rsidP="0025789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 2024 год показатель остался на уровне 2023 года и составляет 50%.</w:t>
      </w:r>
    </w:p>
    <w:p w:rsidR="00046B52" w:rsidRDefault="00046B52" w:rsidP="0025789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Количество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  – 2 единицы.</w:t>
      </w:r>
    </w:p>
    <w:p w:rsidR="00046B52" w:rsidRPr="00144B5D" w:rsidRDefault="0070092E" w:rsidP="007009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</w:t>
      </w:r>
      <w:r w:rsidR="00046B52">
        <w:rPr>
          <w:rFonts w:ascii="Times New Roman CYR" w:hAnsi="Times New Roman CYR" w:cs="Times New Roman CYR"/>
          <w:sz w:val="28"/>
          <w:szCs w:val="28"/>
          <w:u w:color="FF0000"/>
        </w:rPr>
        <w:t xml:space="preserve">Общее число организаций коммунального комплекса, осуществляющих свою деятельность на территории муниципального района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–</w:t>
      </w:r>
      <w:r w:rsidR="00046B52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5 единиц.</w:t>
      </w:r>
    </w:p>
    <w:p w:rsidR="00046B52" w:rsidRPr="00144B5D" w:rsidRDefault="00046B52" w:rsidP="0014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4B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046B52" w:rsidRDefault="00046B52" w:rsidP="007009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Все многоквартирные дома на территории района расположены на земельных участках, в отношении которых осуществлен государственный кадастровый учет, что составляет 100%. 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                                                                      </w:t>
      </w:r>
      <w:r w:rsidR="00B4138D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№29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9"/>
        <w:gridCol w:w="933"/>
        <w:gridCol w:w="936"/>
        <w:gridCol w:w="850"/>
        <w:gridCol w:w="992"/>
        <w:gridCol w:w="1560"/>
      </w:tblGrid>
      <w:tr w:rsidR="00046B52" w:rsidTr="00EE394B">
        <w:trPr>
          <w:trHeight w:val="300"/>
        </w:trPr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46B52" w:rsidTr="00EE394B">
        <w:trPr>
          <w:trHeight w:val="600"/>
        </w:trPr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46B52" w:rsidTr="00EE394B">
        <w:trPr>
          <w:trHeight w:val="9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</w:tr>
      <w:tr w:rsidR="00046B52" w:rsidTr="00EE394B">
        <w:trPr>
          <w:trHeight w:val="12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</w:tr>
      <w:tr w:rsidR="00046B52" w:rsidTr="00EE394B">
        <w:trPr>
          <w:trHeight w:val="12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</w:t>
            </w:r>
          </w:p>
        </w:tc>
      </w:tr>
    </w:tbl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46B52" w:rsidRPr="00850E2E" w:rsidRDefault="00046B52" w:rsidP="00850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46B52" w:rsidRDefault="00850E2E" w:rsidP="00850E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                                                                                           </w:t>
      </w:r>
      <w:r w:rsidR="00046B52"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938"/>
        <w:gridCol w:w="938"/>
        <w:gridCol w:w="939"/>
        <w:gridCol w:w="959"/>
        <w:gridCol w:w="1755"/>
      </w:tblGrid>
      <w:tr w:rsidR="00046B52" w:rsidTr="00850E2E">
        <w:trPr>
          <w:trHeight w:val="30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46B52" w:rsidTr="00850E2E">
        <w:trPr>
          <w:trHeight w:val="6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46B52" w:rsidTr="00850E2E">
        <w:trPr>
          <w:trHeight w:val="21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 Численность населения (семей), состоявшего на учете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и получившего жилые помещения и улучшившего жилищные условия в отчетном году по договорам социального найма (с учетом данных формы федерального статистического наблюдения № 4-соцнайм (графа 3 строка 01 минус строка 02) чел.;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</w:tr>
      <w:tr w:rsidR="00046B52" w:rsidTr="00850E2E">
        <w:trPr>
          <w:trHeight w:val="11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договорам социального найма на конец прошлого года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чел. *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28</w:t>
            </w:r>
          </w:p>
        </w:tc>
      </w:tr>
      <w:tr w:rsidR="00046B52" w:rsidTr="00850E2E">
        <w:trPr>
          <w:trHeight w:val="15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2,86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3,57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3,57</w:t>
            </w:r>
          </w:p>
        </w:tc>
      </w:tr>
    </w:tbl>
    <w:p w:rsidR="00046B52" w:rsidRDefault="00046B52" w:rsidP="00850E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highlight w:val="red"/>
          <w:u w:color="FF0000"/>
        </w:rPr>
      </w:pPr>
    </w:p>
    <w:p w:rsidR="00046B52" w:rsidRPr="00B4138D" w:rsidRDefault="00046B52" w:rsidP="00B4138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увеличилась по сравнению с 2023 годом из-за уменьшения численности населения (семей) состоящего на учете в качестве нуждающегося в жилых помещениях по договорам социального найма на конец прошлого года, по разным видам причин (покупки жилья, миграции населения из небольших населенных пунктов в более крупные, улучшения жилищных условий за счет участия в других про</w:t>
      </w:r>
      <w:r w:rsidR="00B4138D">
        <w:rPr>
          <w:rFonts w:ascii="Times New Roman CYR" w:hAnsi="Times New Roman CYR" w:cs="Times New Roman CYR"/>
          <w:sz w:val="28"/>
          <w:szCs w:val="28"/>
          <w:u w:color="FF0000"/>
        </w:rPr>
        <w:t>граммах, смерти, и т.д.).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46B52" w:rsidRPr="00850E2E" w:rsidRDefault="00046B52" w:rsidP="0085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VIII. Организация муниципального управления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70092E" w:rsidRPr="00850E2E" w:rsidRDefault="0070092E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</w:p>
    <w:p w:rsidR="00046B52" w:rsidRDefault="00046B52" w:rsidP="0070092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В 2024 году наблюдается увеличение доли налоговых и неналоговых доходов местного бюджета в общем объеме собственных доходов бюджета муниципального образования с 16,08 % до 18,77 %, увеличение за счет роста поступлений налога на доходы физических лиц.</w:t>
      </w:r>
    </w:p>
    <w:p w:rsidR="00046B52" w:rsidRDefault="00046B52" w:rsidP="0070092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В целях увеличения доходов местного бюджета проводится работа по идентификации земельных участков. Проводится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претензиционная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работа </w:t>
      </w:r>
      <w:r w:rsidR="00850E2E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по взысканию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задолженности за использование муниципального имущества. Ежеквартально проводятся заседания межведомственной комиссии по сокращению недоимки по налогам и сборам и легализации заработной платы.</w:t>
      </w:r>
    </w:p>
    <w:p w:rsidR="00046B52" w:rsidRDefault="00046B52" w:rsidP="0070092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Реализация вышеуказанных мероприятий направлена на повышение доли налоговых и неналоговых доходов местных бюджетов и, соответственно, повышение самостоятельности органов местного самоуправления при принятии и испо</w:t>
      </w:r>
      <w:r w:rsidR="00850E2E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лнении расходных обязательств.</w:t>
      </w:r>
    </w:p>
    <w:p w:rsidR="0070092E" w:rsidRPr="00850E2E" w:rsidRDefault="0070092E" w:rsidP="0070092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</w:p>
    <w:p w:rsidR="00046B52" w:rsidRPr="00850E2E" w:rsidRDefault="00046B52" w:rsidP="00850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046B52" w:rsidRDefault="00046B52" w:rsidP="00850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района организаций муниципальной формы собственности находя</w:t>
      </w:r>
      <w:r w:rsidR="00850E2E">
        <w:rPr>
          <w:rFonts w:ascii="Times New Roman CYR" w:hAnsi="Times New Roman CYR" w:cs="Times New Roman CYR"/>
          <w:sz w:val="28"/>
          <w:szCs w:val="28"/>
          <w:u w:color="FF0000"/>
        </w:rPr>
        <w:t>щихся в стадии банкротства нет.</w:t>
      </w:r>
    </w:p>
    <w:p w:rsidR="0070092E" w:rsidRPr="00850E2E" w:rsidRDefault="0070092E" w:rsidP="00850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46B52" w:rsidRDefault="00046B52" w:rsidP="00850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70092E" w:rsidRPr="00850E2E" w:rsidRDefault="0070092E" w:rsidP="00850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</w:p>
    <w:p w:rsidR="00046B52" w:rsidRDefault="00046B52" w:rsidP="00850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2024 году объем не завершенного в установленные сроки строительства, осуществляемого за счет средств бюджета муниципального района, отсутствует.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134"/>
        <w:gridCol w:w="1134"/>
        <w:gridCol w:w="1985"/>
        <w:gridCol w:w="3431"/>
      </w:tblGrid>
      <w:tr w:rsidR="00046B52" w:rsidTr="00850E2E">
        <w:tc>
          <w:tcPr>
            <w:tcW w:w="10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lastRenderedPageBreak/>
              <w:t>Объем не завершенного в установленные сроки строительства, осуществляемого за счет средств бюджета муниципального, городского округа, муниципального района</w:t>
            </w:r>
          </w:p>
        </w:tc>
      </w:tr>
      <w:tr w:rsidR="00046B52" w:rsidTr="00850E2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val="single"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Период строи-</w:t>
            </w:r>
            <w:proofErr w:type="spellStart"/>
            <w:r w:rsidRPr="00B4138D">
              <w:rPr>
                <w:rFonts w:ascii="Times New Roman CYR" w:hAnsi="Times New Roman CYR" w:cs="Times New Roman CYR"/>
                <w:u w:color="FF0000"/>
              </w:rPr>
              <w:t>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Заказчик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Затраты </w:t>
            </w:r>
            <w:r w:rsidRPr="00B4138D">
              <w:rPr>
                <w:rFonts w:ascii="Times New Roman CYR" w:hAnsi="Times New Roman CYR" w:cs="Times New Roman CYR"/>
                <w:u w:val="single" w:color="FF0000"/>
              </w:rPr>
              <w:t>местного бюджета</w:t>
            </w:r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 на строительство объекта, тыс. руб.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Перспективы дальнейшего использования объекта (продолжение СМР/отсутствие финансирования, /списание затрат)</w:t>
            </w:r>
          </w:p>
        </w:tc>
      </w:tr>
      <w:tr w:rsidR="00046B52" w:rsidTr="00850E2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</w:tr>
      <w:tr w:rsidR="00046B52" w:rsidTr="00850E2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ИТОГО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</w:tr>
    </w:tbl>
    <w:p w:rsidR="00850E2E" w:rsidRDefault="00850E2E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4138D" w:rsidRDefault="00B4138D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46B52" w:rsidRPr="00850E2E" w:rsidRDefault="00046B52" w:rsidP="00850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046B52" w:rsidRPr="00850E2E" w:rsidRDefault="00046B52" w:rsidP="0070092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итогам 2024 года, как и в предыдущие годы, просроченная кредиторская задолженность по оплате </w:t>
      </w:r>
      <w:r w:rsidR="00850E2E">
        <w:rPr>
          <w:rFonts w:ascii="Times New Roman CYR" w:hAnsi="Times New Roman CYR" w:cs="Times New Roman CYR"/>
          <w:sz w:val="28"/>
          <w:szCs w:val="28"/>
          <w:u w:color="FF0000"/>
        </w:rPr>
        <w:t>труда отсутствует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,</w:t>
      </w:r>
      <w:r>
        <w:rPr>
          <w:rFonts w:ascii="Times New Roman CYR" w:hAnsi="Times New Roman CYR" w:cs="Times New Roman CYR"/>
          <w:b/>
          <w:bCs/>
          <w:i/>
          <w:iCs/>
          <w:color w:val="006600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что свидетельствует о проведении органами местного </w:t>
      </w:r>
      <w:r w:rsidR="00850E2E">
        <w:rPr>
          <w:rFonts w:ascii="Times New Roman CYR" w:hAnsi="Times New Roman CYR" w:cs="Times New Roman CYR"/>
          <w:sz w:val="28"/>
          <w:szCs w:val="28"/>
          <w:u w:color="FF0000"/>
        </w:rPr>
        <w:t>самоуправления ответственной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бюджетной</w:t>
      </w:r>
      <w:r w:rsidR="00850E2E">
        <w:rPr>
          <w:rFonts w:ascii="Times New Roman CYR" w:hAnsi="Times New Roman CYR" w:cs="Times New Roman CYR"/>
          <w:sz w:val="28"/>
          <w:szCs w:val="28"/>
          <w:u w:color="FF0000"/>
        </w:rPr>
        <w:t xml:space="preserve"> политики.</w:t>
      </w:r>
    </w:p>
    <w:p w:rsidR="00046B52" w:rsidRPr="00850E2E" w:rsidRDefault="00046B52" w:rsidP="00850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046B52" w:rsidRPr="00850E2E" w:rsidRDefault="00046B52" w:rsidP="007009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        В 2024 году отмечен рост расходов на содержание работников органов местного самоуправления в расчете на одного жителя муниципального образования с 8500,99 рублей до 9967,83 рублей. Это обусловлено с ростом денежного содержания работников органов местного самоуправления, а </w:t>
      </w:r>
      <w:r w:rsidR="00850E2E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также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сокращением численности постоянного населения (естественное снижение населения – смертность превысила рождаемость и миграционный отток населения).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color="FF0000"/>
        </w:rPr>
        <w:t xml:space="preserve"> </w:t>
      </w:r>
      <w:r w:rsidR="00850E2E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</w:t>
      </w:r>
    </w:p>
    <w:p w:rsidR="00046B52" w:rsidRPr="00850E2E" w:rsidRDefault="00046B52" w:rsidP="00850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046B52" w:rsidRDefault="00046B52" w:rsidP="0070092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целях дальнейшего развития жилищного строительства на территории района разработаны и утверждены документы территориального планирования и правила землепользования застройки. 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379"/>
        <w:gridCol w:w="3685"/>
      </w:tblGrid>
      <w:tr w:rsidR="00046B52" w:rsidTr="00850E2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Дата</w:t>
            </w:r>
          </w:p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утверждения</w:t>
            </w:r>
          </w:p>
        </w:tc>
      </w:tr>
      <w:tr w:rsidR="00046B52" w:rsidTr="00850E2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Генплан Дзержинского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№ 21- 181Р от 14.09.2018</w:t>
            </w:r>
          </w:p>
        </w:tc>
      </w:tr>
      <w:tr w:rsidR="00046B52" w:rsidTr="00850E2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Генплан </w:t>
            </w:r>
            <w:proofErr w:type="spellStart"/>
            <w:r w:rsidRPr="00B4138D">
              <w:rPr>
                <w:rFonts w:ascii="Times New Roman CYR" w:hAnsi="Times New Roman CYR" w:cs="Times New Roman CYR"/>
                <w:u w:color="FF0000"/>
              </w:rPr>
              <w:t>Курайского</w:t>
            </w:r>
            <w:proofErr w:type="spellEnd"/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№ 7-44Р от 21.04.2021</w:t>
            </w:r>
          </w:p>
        </w:tc>
      </w:tr>
      <w:tr w:rsidR="00046B52" w:rsidTr="00850E2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Схема территориального планирования Дзержинского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№.29-188Р от 28.10.2012 года (актуализирована в 2016 году)</w:t>
            </w:r>
          </w:p>
        </w:tc>
      </w:tr>
      <w:tr w:rsidR="00046B52" w:rsidTr="00850E2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Генплан </w:t>
            </w:r>
            <w:proofErr w:type="spellStart"/>
            <w:r w:rsidRPr="00B4138D">
              <w:rPr>
                <w:rFonts w:ascii="Times New Roman CYR" w:hAnsi="Times New Roman CYR" w:cs="Times New Roman CYR"/>
                <w:u w:color="FF0000"/>
              </w:rPr>
              <w:t>Денисовского</w:t>
            </w:r>
            <w:proofErr w:type="spellEnd"/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№ 18-117Р от 23.06.2022</w:t>
            </w:r>
          </w:p>
        </w:tc>
      </w:tr>
    </w:tbl>
    <w:p w:rsidR="00046B52" w:rsidRDefault="00850E2E" w:rsidP="00046B52">
      <w:p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</w:p>
    <w:p w:rsidR="00046B52" w:rsidRPr="00850E2E" w:rsidRDefault="00046B52" w:rsidP="00850E2E">
      <w:p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 CYR" w:hAnsi="Arial CYR" w:cs="Arial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В 2020 году разработаны генпланы Михайловского и 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Ершинского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сельсоветов, в 2021 году генплан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Нижнетанайского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сельсовета, в 2023 году генплан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Шеломковского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сельсовета</w:t>
      </w:r>
      <w:r w:rsidR="0070092E"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  <w:proofErr w:type="gramStart"/>
      <w:r w:rsidR="0070092E">
        <w:rPr>
          <w:rFonts w:ascii="Times New Roman CYR" w:hAnsi="Times New Roman CYR" w:cs="Times New Roman CYR"/>
          <w:sz w:val="28"/>
          <w:szCs w:val="28"/>
          <w:u w:color="FF0000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настоящее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время они находятся на доработке.</w:t>
      </w:r>
    </w:p>
    <w:p w:rsidR="00046B52" w:rsidRPr="00850E2E" w:rsidRDefault="00046B52" w:rsidP="00850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850E2E" w:rsidRPr="00850E2E" w:rsidRDefault="00046B52" w:rsidP="00083C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Уровень удовлетворенности населения Дзержинского района направлениями работы органов местного самоуправления за 2024 год составляет </w:t>
      </w:r>
      <w:r w:rsidR="00850E2E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68,2 % от числа опрошенных.</w:t>
      </w:r>
    </w:p>
    <w:p w:rsidR="00046B52" w:rsidRPr="00850E2E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38. Среднегодовая численность постоянного населения</w:t>
      </w:r>
    </w:p>
    <w:p w:rsidR="00046B52" w:rsidRDefault="00046B52" w:rsidP="00083C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В 2024 году среднегодовая численность постоянного населения района составила 11 283 человека. Численность населения района на протяжении последних лет постепенно сокращается. По сравнению с 2023 годом среднегодовая численность населения сократилась на 206 человек.  </w:t>
      </w:r>
    </w:p>
    <w:p w:rsidR="00046B52" w:rsidRDefault="00046B52" w:rsidP="00083C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Ежегодное снижение численности постоянного населения обусловлено двумя причинами: изменение в процессе естественного воспроизводства в силу объективных причин и миграционных потоков. 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Демографическая ситуация в 2024 году характеризовалась следующими показателями: число родившихся уменьшилось на 13,33% и составило 104 человека, число умерших сократилось на 0,48% и составило 206 человек. По сравнению с 2023 годом на территории района рождено на 16 человек меньше, умерло на 1 человека меньше. Естественная убыль населения составляет -102 человек. Миграционный отток населения составил - 111 человек.</w:t>
      </w:r>
    </w:p>
    <w:p w:rsidR="00850E2E" w:rsidRPr="00B4138D" w:rsidRDefault="00046B52" w:rsidP="00083C0D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По прогнозным оценкам, в ближайшие годы ожидается незначительное </w:t>
      </w:r>
      <w:r w:rsidR="00B4138D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увеличение числа новорожденных.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                                                                                                                                                                </w:t>
      </w:r>
      <w:r w:rsidR="00B4138D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</w:t>
      </w:r>
    </w:p>
    <w:p w:rsidR="00046B52" w:rsidRDefault="00046B52" w:rsidP="00850E2E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 w:rsidRPr="00B4138D">
        <w:rPr>
          <w:rFonts w:ascii="Times New Roman CYR" w:hAnsi="Times New Roman CYR" w:cs="Times New Roman CYR"/>
          <w:u w:color="FF0000"/>
        </w:rPr>
        <w:t>чел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273"/>
        <w:gridCol w:w="996"/>
        <w:gridCol w:w="1133"/>
        <w:gridCol w:w="991"/>
        <w:gridCol w:w="1127"/>
        <w:gridCol w:w="1134"/>
        <w:gridCol w:w="1559"/>
      </w:tblGrid>
      <w:tr w:rsidR="00046B52" w:rsidRPr="00B4138D" w:rsidTr="00083C0D">
        <w:trPr>
          <w:trHeight w:val="765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2022</w:t>
            </w:r>
            <w:r w:rsidRPr="00B4138D">
              <w:rPr>
                <w:rFonts w:ascii="Times New Roman CYR" w:hAnsi="Times New Roman CYR" w:cs="Times New Roman CYR"/>
                <w:u w:color="FF0000"/>
              </w:rPr>
              <w:br/>
              <w:t>факт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2023</w:t>
            </w:r>
            <w:r w:rsidRPr="00B4138D">
              <w:rPr>
                <w:rFonts w:ascii="Times New Roman CYR" w:hAnsi="Times New Roman CYR" w:cs="Times New Roman CYR"/>
                <w:u w:color="FF0000"/>
              </w:rPr>
              <w:br/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2024</w:t>
            </w:r>
            <w:r w:rsidRPr="00B4138D">
              <w:rPr>
                <w:rFonts w:ascii="Times New Roman CYR" w:hAnsi="Times New Roman CYR" w:cs="Times New Roman CYR"/>
                <w:u w:color="FF0000"/>
              </w:rPr>
              <w:br/>
              <w:t>факт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2025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2026</w:t>
            </w:r>
          </w:p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2027</w:t>
            </w:r>
          </w:p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прогноз</w:t>
            </w:r>
          </w:p>
        </w:tc>
      </w:tr>
      <w:tr w:rsidR="00046B52" w:rsidRPr="00B4138D" w:rsidTr="00083C0D">
        <w:trPr>
          <w:trHeight w:val="1170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Среднегодовая численность постоянного населения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11 997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11 489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11 283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10 960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10 828</w:t>
            </w:r>
          </w:p>
        </w:tc>
      </w:tr>
      <w:tr w:rsidR="00046B52" w:rsidRPr="00B4138D" w:rsidTr="00083C0D">
        <w:trPr>
          <w:trHeight w:val="885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38.1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Численность населения на начало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12 404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11 589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11 389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10 892</w:t>
            </w:r>
          </w:p>
        </w:tc>
      </w:tr>
      <w:tr w:rsidR="00046B52" w:rsidRPr="00B4138D" w:rsidTr="00083C0D">
        <w:trPr>
          <w:trHeight w:val="525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38.2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Численность родившихся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107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124</w:t>
            </w:r>
          </w:p>
        </w:tc>
      </w:tr>
      <w:tr w:rsidR="00046B52" w:rsidRPr="00B4138D" w:rsidTr="00083C0D">
        <w:trPr>
          <w:trHeight w:val="495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38.3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Численность умерших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203</w:t>
            </w:r>
          </w:p>
        </w:tc>
      </w:tr>
      <w:tr w:rsidR="00046B52" w:rsidRPr="00B4138D" w:rsidTr="00083C0D">
        <w:trPr>
          <w:trHeight w:val="795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38.4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Естественный прирост (+)               убыль (-)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-116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-87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-102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-79</w:t>
            </w:r>
          </w:p>
        </w:tc>
      </w:tr>
      <w:tr w:rsidR="00046B52" w:rsidRPr="00B4138D" w:rsidTr="00083C0D">
        <w:trPr>
          <w:trHeight w:val="825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38.5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Численность прибывших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473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346</w:t>
            </w:r>
          </w:p>
        </w:tc>
      </w:tr>
      <w:tr w:rsidR="00046B52" w:rsidRPr="00B4138D" w:rsidTr="00083C0D">
        <w:trPr>
          <w:trHeight w:val="525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38.6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Численность убывших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658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586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449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395</w:t>
            </w:r>
          </w:p>
        </w:tc>
      </w:tr>
      <w:tr w:rsidR="00046B52" w:rsidRPr="00B4138D" w:rsidTr="00083C0D">
        <w:trPr>
          <w:trHeight w:val="645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38.7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Миграционный прирост (+)   убыль (-)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-281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-113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-111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-49</w:t>
            </w:r>
          </w:p>
        </w:tc>
      </w:tr>
      <w:tr w:rsidR="00046B52" w:rsidRPr="00B4138D" w:rsidTr="00083C0D">
        <w:trPr>
          <w:trHeight w:val="645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Численность населения на конец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11 589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11 389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11 177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11 028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10 892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10 764</w:t>
            </w:r>
          </w:p>
        </w:tc>
      </w:tr>
    </w:tbl>
    <w:p w:rsidR="00850E2E" w:rsidRDefault="00850E2E" w:rsidP="00B413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046B52" w:rsidRPr="00B4138D" w:rsidRDefault="00046B52" w:rsidP="00083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IX. Энергосбережение и повышение энергетической эффективности</w:t>
      </w:r>
    </w:p>
    <w:p w:rsidR="00850E2E" w:rsidRDefault="00046B52" w:rsidP="00850E2E">
      <w:pPr>
        <w:autoSpaceDE w:val="0"/>
        <w:autoSpaceDN w:val="0"/>
        <w:adjustRightInd w:val="0"/>
        <w:spacing w:after="0" w:line="240" w:lineRule="auto"/>
        <w:ind w:right="16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 2014 года в крае осуществляется реализация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в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целях создания экономических и организационных основ стимулирования энергосбережения и повышения энергетической эффективности. В районе утверждена муниципальная программа в области энергосбережения и повышени</w:t>
      </w:r>
      <w:r w:rsidR="00850E2E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я энергетической эффективности.</w:t>
      </w:r>
    </w:p>
    <w:p w:rsidR="00083C0D" w:rsidRPr="00850E2E" w:rsidRDefault="00083C0D" w:rsidP="00850E2E">
      <w:pPr>
        <w:autoSpaceDE w:val="0"/>
        <w:autoSpaceDN w:val="0"/>
        <w:adjustRightInd w:val="0"/>
        <w:spacing w:after="0" w:line="240" w:lineRule="auto"/>
        <w:ind w:right="16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46B52" w:rsidRPr="00850E2E" w:rsidRDefault="00046B52" w:rsidP="00B413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right="20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бъем потребления холодной воды за 2024 год согласно индивидуальным приборам учета составил 2 415 куб. м., по нормативу потребление составило 1 453 куб. м., в общем потребление холодной воды в многоквартирных домах составило 3 868 куб. м., в домах проживает 258 человек.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прогнозируемом периоде 2025-2027 годов показатель останется на уровне 2024 года.</w:t>
      </w:r>
    </w:p>
    <w:p w:rsidR="00850E2E" w:rsidRDefault="00850E2E" w:rsidP="00046B52">
      <w:pPr>
        <w:autoSpaceDE w:val="0"/>
        <w:autoSpaceDN w:val="0"/>
        <w:adjustRightInd w:val="0"/>
        <w:spacing w:after="0" w:line="240" w:lineRule="auto"/>
        <w:ind w:right="200"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46B52" w:rsidRPr="00B4138D" w:rsidRDefault="00046B52" w:rsidP="00046B52">
      <w:pPr>
        <w:autoSpaceDE w:val="0"/>
        <w:autoSpaceDN w:val="0"/>
        <w:adjustRightInd w:val="0"/>
        <w:spacing w:after="0" w:line="240" w:lineRule="auto"/>
        <w:ind w:right="200" w:firstLine="709"/>
        <w:jc w:val="right"/>
        <w:rPr>
          <w:rFonts w:ascii="Times New Roman CYR" w:hAnsi="Times New Roman CYR" w:cs="Times New Roman CYR"/>
          <w:u w:color="FF0000"/>
        </w:rPr>
      </w:pPr>
      <w:r w:rsidRPr="00B4138D">
        <w:rPr>
          <w:rFonts w:ascii="Times New Roman CYR" w:hAnsi="Times New Roman CYR" w:cs="Times New Roman CYR"/>
          <w:u w:color="FF0000"/>
        </w:rPr>
        <w:t>Расшифровка показателя №39.4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2268"/>
        <w:gridCol w:w="1701"/>
        <w:gridCol w:w="992"/>
        <w:gridCol w:w="992"/>
        <w:gridCol w:w="992"/>
        <w:gridCol w:w="992"/>
        <w:gridCol w:w="1277"/>
      </w:tblGrid>
      <w:tr w:rsidR="00046B52" w:rsidRPr="00B4138D" w:rsidTr="00B4138D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u w:color="FF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u w:color="FF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u w:color="FF0000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46B52" w:rsidRPr="00B4138D" w:rsidTr="00B4138D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39.4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холодная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proofErr w:type="spellStart"/>
            <w:r w:rsidRPr="00B4138D">
              <w:rPr>
                <w:rFonts w:ascii="Times New Roman CYR" w:hAnsi="Times New Roman CYR" w:cs="Times New Roman CYR"/>
                <w:u w:color="FF0000"/>
              </w:rPr>
              <w:t>куб.метров</w:t>
            </w:r>
            <w:proofErr w:type="spellEnd"/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 на 1 проживающего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14,99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14,99</w:t>
            </w:r>
          </w:p>
        </w:tc>
      </w:tr>
      <w:tr w:rsidR="00046B52" w:rsidRPr="00B4138D" w:rsidTr="00B4138D">
        <w:trPr>
          <w:trHeight w:val="4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объем потребления воды (холодной)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proofErr w:type="spellStart"/>
            <w:r w:rsidRPr="00B4138D">
              <w:rPr>
                <w:rFonts w:ascii="Times New Roman CYR" w:hAnsi="Times New Roman CYR" w:cs="Times New Roman CYR"/>
                <w:u w:color="FF0000"/>
              </w:rPr>
              <w:t>куб.м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692,22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3 868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3 868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3 868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3 868</w:t>
            </w:r>
          </w:p>
        </w:tc>
      </w:tr>
      <w:tr w:rsidR="00046B52" w:rsidRPr="00B4138D" w:rsidTr="00B4138D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258</w:t>
            </w:r>
          </w:p>
        </w:tc>
      </w:tr>
    </w:tbl>
    <w:p w:rsidR="00046B52" w:rsidRDefault="00046B52" w:rsidP="00046B52">
      <w:pPr>
        <w:autoSpaceDE w:val="0"/>
        <w:autoSpaceDN w:val="0"/>
        <w:adjustRightInd w:val="0"/>
        <w:spacing w:after="0" w:line="240" w:lineRule="auto"/>
        <w:ind w:right="20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right="20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Удельная величина потребления тепловой энергии рассчитана по нормативам, так как в многоквартирных домах отсутствуют коллективные приборы учета. Показатель тепловой </w:t>
      </w:r>
      <w:r w:rsidR="00850E2E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энергии в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2024 году остался на уровне 2023 года.</w:t>
      </w:r>
    </w:p>
    <w:p w:rsidR="00046B52" w:rsidRDefault="00046B52" w:rsidP="00B4138D">
      <w:pPr>
        <w:autoSpaceDE w:val="0"/>
        <w:autoSpaceDN w:val="0"/>
        <w:adjustRightInd w:val="0"/>
        <w:spacing w:after="0" w:line="240" w:lineRule="auto"/>
        <w:ind w:right="20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Прогнозируемые показатели на 2025-2027 годы останутся на уровне 2024 года, так как не планируется увеличение тепловых мощностей и количеств</w:t>
      </w:r>
      <w:r w:rsidR="00B4138D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а потребителей данного ресурса</w:t>
      </w:r>
    </w:p>
    <w:p w:rsidR="00850E2E" w:rsidRDefault="00850E2E" w:rsidP="00046B52">
      <w:pPr>
        <w:autoSpaceDE w:val="0"/>
        <w:autoSpaceDN w:val="0"/>
        <w:adjustRightInd w:val="0"/>
        <w:spacing w:after="0" w:line="240" w:lineRule="auto"/>
        <w:ind w:right="20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83C0D" w:rsidRDefault="00083C0D" w:rsidP="00046B52">
      <w:pPr>
        <w:autoSpaceDE w:val="0"/>
        <w:autoSpaceDN w:val="0"/>
        <w:adjustRightInd w:val="0"/>
        <w:spacing w:after="0" w:line="240" w:lineRule="auto"/>
        <w:ind w:right="200" w:firstLine="709"/>
        <w:jc w:val="right"/>
        <w:rPr>
          <w:rFonts w:ascii="Times New Roman CYR" w:hAnsi="Times New Roman CYR" w:cs="Times New Roman CYR"/>
          <w:u w:color="FF0000"/>
        </w:rPr>
      </w:pPr>
    </w:p>
    <w:p w:rsidR="00083C0D" w:rsidRDefault="00083C0D" w:rsidP="00046B52">
      <w:pPr>
        <w:autoSpaceDE w:val="0"/>
        <w:autoSpaceDN w:val="0"/>
        <w:adjustRightInd w:val="0"/>
        <w:spacing w:after="0" w:line="240" w:lineRule="auto"/>
        <w:ind w:right="200" w:firstLine="709"/>
        <w:jc w:val="right"/>
        <w:rPr>
          <w:rFonts w:ascii="Times New Roman CYR" w:hAnsi="Times New Roman CYR" w:cs="Times New Roman CYR"/>
          <w:u w:color="FF0000"/>
        </w:rPr>
      </w:pPr>
    </w:p>
    <w:p w:rsidR="00046B52" w:rsidRPr="00B4138D" w:rsidRDefault="00046B52" w:rsidP="00046B52">
      <w:pPr>
        <w:autoSpaceDE w:val="0"/>
        <w:autoSpaceDN w:val="0"/>
        <w:adjustRightInd w:val="0"/>
        <w:spacing w:after="0" w:line="240" w:lineRule="auto"/>
        <w:ind w:right="200" w:firstLine="709"/>
        <w:jc w:val="right"/>
        <w:rPr>
          <w:rFonts w:ascii="Times New Roman CYR" w:hAnsi="Times New Roman CYR" w:cs="Times New Roman CYR"/>
          <w:u w:color="FF0000"/>
        </w:rPr>
      </w:pPr>
      <w:r w:rsidRPr="00B4138D">
        <w:rPr>
          <w:rFonts w:ascii="Times New Roman CYR" w:hAnsi="Times New Roman CYR" w:cs="Times New Roman CYR"/>
          <w:u w:color="FF0000"/>
        </w:rPr>
        <w:lastRenderedPageBreak/>
        <w:t>Расшифровка показателя №39.2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675"/>
        <w:gridCol w:w="2329"/>
        <w:gridCol w:w="1040"/>
        <w:gridCol w:w="1248"/>
        <w:gridCol w:w="1128"/>
        <w:gridCol w:w="1113"/>
        <w:gridCol w:w="1079"/>
        <w:gridCol w:w="1419"/>
      </w:tblGrid>
      <w:tr w:rsidR="00046B52" w:rsidRPr="00B4138D" w:rsidTr="00B4138D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u w:color="FF0000"/>
              </w:rPr>
              <w:t>№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u w:color="FF0000"/>
              </w:rPr>
              <w:t>Наименование показателя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u w:color="FF0000"/>
              </w:rPr>
              <w:t>Единицы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46B52" w:rsidRPr="00B4138D" w:rsidTr="00B4138D">
        <w:tblPrEx>
          <w:tblBorders>
            <w:right w:val="single" w:sz="4" w:space="4" w:color="auto"/>
          </w:tblBorders>
        </w:tblPrEx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39.2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тепловая энергия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Гкал на 1 кв. метр общей площади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</w:tr>
      <w:tr w:rsidR="00046B52" w:rsidRPr="00B4138D" w:rsidTr="00B4138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объем потребленной тепловой энергии в многоквартирных домах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Гкал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3 615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3 615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3 615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3 615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3 615</w:t>
            </w:r>
          </w:p>
        </w:tc>
      </w:tr>
      <w:tr w:rsidR="00046B52" w:rsidRPr="00B4138D" w:rsidTr="00B4138D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общая площадь жилых помещений в многоквартирных домах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кв. метр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</w:tr>
    </w:tbl>
    <w:p w:rsidR="00046B52" w:rsidRPr="00B4138D" w:rsidRDefault="00046B52" w:rsidP="00850E2E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 CYR" w:hAnsi="Times New Roman CYR" w:cs="Times New Roman CYR"/>
          <w:highlight w:val="lightGray"/>
          <w:u w:color="FF0000"/>
        </w:rPr>
      </w:pP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электрической энергии в многоквартирных домах в Дзержинском районе по данным ПАО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Красноярскэнергосбыт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 за 2024 год составил 315 614 кВт/ч, численность проживающих в многоквартирных домах, которым отпущен соответствующий энергетический ресурс увеличилось по сравнению с 2023 года и составило 292 человека.</w:t>
      </w:r>
    </w:p>
    <w:p w:rsidR="00850E2E" w:rsidRPr="00B4138D" w:rsidRDefault="00046B52" w:rsidP="00B4138D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электроэнергии в 2024 году уменьшилась по сравнению с 2023 годом. На период 2025-2027 годов показатель</w:t>
      </w:r>
      <w:r w:rsidR="00B4138D">
        <w:rPr>
          <w:rFonts w:ascii="Times New Roman CYR" w:hAnsi="Times New Roman CYR" w:cs="Times New Roman CYR"/>
          <w:sz w:val="28"/>
          <w:szCs w:val="28"/>
          <w:u w:color="FF0000"/>
        </w:rPr>
        <w:t xml:space="preserve"> останется на уровне 2024 года</w:t>
      </w:r>
    </w:p>
    <w:p w:rsidR="00046B52" w:rsidRPr="00B4138D" w:rsidRDefault="00046B52" w:rsidP="00046B52">
      <w:pPr>
        <w:autoSpaceDE w:val="0"/>
        <w:autoSpaceDN w:val="0"/>
        <w:adjustRightInd w:val="0"/>
        <w:spacing w:after="0" w:line="240" w:lineRule="auto"/>
        <w:ind w:right="200" w:firstLine="709"/>
        <w:jc w:val="right"/>
        <w:rPr>
          <w:rFonts w:ascii="Arial CYR" w:hAnsi="Arial CYR" w:cs="Arial CYR"/>
          <w:u w:color="FF0000"/>
        </w:rPr>
      </w:pPr>
      <w:r w:rsidRPr="00B4138D">
        <w:rPr>
          <w:rFonts w:ascii="Times New Roman CYR" w:hAnsi="Times New Roman CYR" w:cs="Times New Roman CYR"/>
          <w:u w:color="FF0000"/>
        </w:rPr>
        <w:t>Расшифровка показателя №39.1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585"/>
        <w:gridCol w:w="1417"/>
        <w:gridCol w:w="993"/>
        <w:gridCol w:w="993"/>
        <w:gridCol w:w="993"/>
        <w:gridCol w:w="993"/>
        <w:gridCol w:w="1415"/>
      </w:tblGrid>
      <w:tr w:rsidR="00046B52" w:rsidRPr="00B4138D" w:rsidTr="00B4138D">
        <w:trPr>
          <w:trHeight w:val="61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u w:color="FF000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u w:color="FF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u w:color="FF0000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46B52" w:rsidRPr="00B4138D" w:rsidTr="00B4138D">
        <w:trPr>
          <w:trHeight w:val="70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39.1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 </w:t>
            </w:r>
            <w:proofErr w:type="spellStart"/>
            <w:r w:rsidRPr="00B4138D">
              <w:rPr>
                <w:rFonts w:ascii="Times New Roman CYR" w:hAnsi="Times New Roman CYR" w:cs="Times New Roman CYR"/>
                <w:u w:color="FF0000"/>
              </w:rPr>
              <w:t>кВт·ч</w:t>
            </w:r>
            <w:proofErr w:type="spellEnd"/>
            <w:r w:rsidRPr="00B4138D">
              <w:rPr>
                <w:rFonts w:ascii="Times New Roman CYR" w:hAnsi="Times New Roman CYR" w:cs="Times New Roman CYR"/>
                <w:u w:color="FF0000"/>
              </w:rPr>
              <w:t xml:space="preserve"> на 1 проживающего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1 137,97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1 080,87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1 080,87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1 080,87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1 080,87</w:t>
            </w:r>
          </w:p>
        </w:tc>
      </w:tr>
      <w:tr w:rsidR="00046B52" w:rsidRPr="00B4138D" w:rsidTr="00B4138D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proofErr w:type="spellStart"/>
            <w:r w:rsidRPr="00B4138D">
              <w:rPr>
                <w:rFonts w:ascii="Times New Roman CYR" w:hAnsi="Times New Roman CYR" w:cs="Times New Roman CYR"/>
                <w:u w:color="FF0000"/>
              </w:rPr>
              <w:t>кВТч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325 460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315 614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315 614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315 614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315 614</w:t>
            </w:r>
          </w:p>
        </w:tc>
      </w:tr>
      <w:tr w:rsidR="00046B52" w:rsidRPr="00B4138D" w:rsidTr="00B4138D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u w:color="FF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46B52" w:rsidRPr="00B4138D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B4138D">
              <w:rPr>
                <w:rFonts w:ascii="Times New Roman CYR" w:hAnsi="Times New Roman CYR" w:cs="Times New Roman CYR"/>
                <w:color w:val="000000"/>
                <w:u w:color="FF0000"/>
              </w:rPr>
              <w:t>292</w:t>
            </w:r>
          </w:p>
        </w:tc>
      </w:tr>
    </w:tbl>
    <w:p w:rsidR="00046B52" w:rsidRPr="003B778B" w:rsidRDefault="003B778B" w:rsidP="003B778B">
      <w:pPr>
        <w:autoSpaceDE w:val="0"/>
        <w:autoSpaceDN w:val="0"/>
        <w:adjustRightInd w:val="0"/>
        <w:spacing w:before="120" w:after="0" w:line="240" w:lineRule="auto"/>
        <w:ind w:right="2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</w:t>
      </w:r>
      <w:r w:rsidR="00046B52"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районе отсутствует инфраструктура.</w:t>
      </w:r>
    </w:p>
    <w:p w:rsidR="00446D77" w:rsidRPr="003B778B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</w:t>
      </w:r>
      <w:r w:rsidR="003B778B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альными бюджетными учреждениями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Удельная величина потребления электроэнергии муниципальными бюджетными учреждениями в 2024 году увеличилась по сравнению с 2023 годом. Объем потребления электрической энергии муниципальными бюджетными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учреждениями в 2024 году составил 2 135 229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кВтч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, среднегодовая численность постоянного населения Дзержинского района 11 283 чел.</w:t>
      </w:r>
    </w:p>
    <w:p w:rsidR="00046B52" w:rsidRDefault="00046B52" w:rsidP="003B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Увеличение потребления электроэнергии произошло за счет увеличения в пользовании количества энергосберегающих ламп в учебных кабинетах, приобретения дополнительного оборудования для учебной деятельности, а также для пользования в учреждениях дополнительного образования по внеурочной деятельности. В 2024 году проводился капитальный ремонт, ремонт учреждений, что также привело к увеличе</w:t>
      </w:r>
      <w:r w:rsidR="00083C0D">
        <w:rPr>
          <w:rFonts w:ascii="Times New Roman CYR" w:hAnsi="Times New Roman CYR" w:cs="Times New Roman CYR"/>
          <w:sz w:val="28"/>
          <w:szCs w:val="28"/>
          <w:u w:color="FF0000"/>
        </w:rPr>
        <w:t>нию потребления электроэнергии.</w:t>
      </w:r>
    </w:p>
    <w:p w:rsidR="00046B52" w:rsidRPr="00AD49DB" w:rsidRDefault="00046B52" w:rsidP="00046B52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u w:color="FF0000"/>
        </w:rPr>
      </w:pPr>
      <w:r w:rsidRPr="00AD49DB">
        <w:rPr>
          <w:rFonts w:ascii="Times New Roman CYR" w:hAnsi="Times New Roman CYR" w:cs="Times New Roman CYR"/>
          <w:u w:color="FF0000"/>
        </w:rPr>
        <w:t>Расшифровка показателя №40.1</w:t>
      </w:r>
    </w:p>
    <w:tbl>
      <w:tblPr>
        <w:tblW w:w="1017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369"/>
        <w:gridCol w:w="1320"/>
        <w:gridCol w:w="1180"/>
        <w:gridCol w:w="1360"/>
        <w:gridCol w:w="1264"/>
        <w:gridCol w:w="1680"/>
      </w:tblGrid>
      <w:tr w:rsidR="00046B52" w:rsidRPr="00AD49DB" w:rsidTr="00AD49DB">
        <w:trPr>
          <w:trHeight w:val="30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Значения показателя</w:t>
            </w:r>
          </w:p>
        </w:tc>
      </w:tr>
      <w:tr w:rsidR="00046B52" w:rsidRPr="00AD49DB" w:rsidTr="00AD49DB">
        <w:trPr>
          <w:trHeight w:val="69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46B52" w:rsidRPr="00AD49DB" w:rsidTr="00AD49DB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40.1. Потребление электрической энергии, </w:t>
            </w:r>
            <w:proofErr w:type="spellStart"/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кВт·ч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184,45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189,24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201,86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204,50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206,99</w:t>
            </w:r>
          </w:p>
        </w:tc>
      </w:tr>
      <w:tr w:rsidR="00046B52" w:rsidRPr="00AD49DB" w:rsidTr="00AD49DB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электрической энергии муниципальными учреждениями, </w:t>
            </w:r>
            <w:proofErr w:type="spellStart"/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кВтч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AD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2 119 103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AD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2 135 229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AD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2 241 289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AD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2 241 289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AD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2 241 289</w:t>
            </w:r>
          </w:p>
        </w:tc>
      </w:tr>
      <w:tr w:rsidR="00046B52" w:rsidRPr="00AD49DB" w:rsidTr="00AD49DB">
        <w:trPr>
          <w:trHeight w:val="8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u w:color="FF0000"/>
              </w:rPr>
              <w:t xml:space="preserve">среднегодовая </w:t>
            </w: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11 489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11 283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11 103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10 960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AD49DB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AD49DB">
              <w:rPr>
                <w:rFonts w:ascii="Times New Roman CYR" w:hAnsi="Times New Roman CYR" w:cs="Times New Roman CYR"/>
                <w:color w:val="000000"/>
                <w:u w:color="FF0000"/>
              </w:rPr>
              <w:t>10 828</w:t>
            </w:r>
          </w:p>
        </w:tc>
      </w:tr>
    </w:tbl>
    <w:p w:rsidR="00446D77" w:rsidRPr="00446D77" w:rsidRDefault="003B778B" w:rsidP="0044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</w:t>
      </w:r>
      <w:r w:rsidR="00046B52">
        <w:rPr>
          <w:rFonts w:ascii="Times New Roman CYR" w:hAnsi="Times New Roman CYR" w:cs="Times New Roman CYR"/>
          <w:sz w:val="28"/>
          <w:szCs w:val="28"/>
          <w:u w:color="FF0000"/>
        </w:rPr>
        <w:t xml:space="preserve"> Суммарное количество тепловой энергии муниципальными бюджетными учреждениями за 2024 год составило 3 906,92 Гкал, общая площадь муниципальных учрежден</w:t>
      </w:r>
      <w:r w:rsidR="00446D77">
        <w:rPr>
          <w:rFonts w:ascii="Times New Roman CYR" w:hAnsi="Times New Roman CYR" w:cs="Times New Roman CYR"/>
          <w:sz w:val="28"/>
          <w:szCs w:val="28"/>
          <w:u w:color="FF0000"/>
        </w:rPr>
        <w:t xml:space="preserve">ий на 2024 год 52 694,02 </w:t>
      </w:r>
      <w:proofErr w:type="spellStart"/>
      <w:r w:rsidR="00446D77"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 w:rsidR="00446D77"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№40.2</w:t>
      </w:r>
    </w:p>
    <w:tbl>
      <w:tblPr>
        <w:tblW w:w="1017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582"/>
        <w:gridCol w:w="1204"/>
        <w:gridCol w:w="1135"/>
        <w:gridCol w:w="1133"/>
        <w:gridCol w:w="1133"/>
        <w:gridCol w:w="1986"/>
      </w:tblGrid>
      <w:tr w:rsidR="00046B52" w:rsidTr="00446D77">
        <w:trPr>
          <w:trHeight w:val="291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Значения показателя</w:t>
            </w:r>
          </w:p>
        </w:tc>
      </w:tr>
      <w:tr w:rsidR="00046B52" w:rsidTr="00446D77">
        <w:trPr>
          <w:trHeight w:val="69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46B52" w:rsidTr="00446D77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0,07</w:t>
            </w:r>
          </w:p>
        </w:tc>
      </w:tr>
      <w:tr w:rsidR="00046B52" w:rsidTr="00446D77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3 995,33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3 906,92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3 929,93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3 929,93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3 929,93</w:t>
            </w:r>
          </w:p>
        </w:tc>
      </w:tr>
      <w:tr w:rsidR="00046B52" w:rsidTr="00446D77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общая площадь муниципальных учреждений,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</w:tr>
    </w:tbl>
    <w:p w:rsidR="00850E2E" w:rsidRPr="003B778B" w:rsidRDefault="003B778B" w:rsidP="003B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</w:t>
      </w:r>
      <w:r w:rsidR="00046B52">
        <w:rPr>
          <w:rFonts w:ascii="Times New Roman CYR" w:hAnsi="Times New Roman CYR" w:cs="Times New Roman CYR"/>
          <w:sz w:val="28"/>
          <w:szCs w:val="28"/>
          <w:u w:color="FF0000"/>
        </w:rPr>
        <w:t xml:space="preserve">  Удельная величина потребления холодной воды рассчитана по нормативам, так как отсутствуют приборы учета.  Объем потребления холодной воды муниципальными БУ з</w:t>
      </w:r>
      <w:r w:rsidR="00083C0D">
        <w:rPr>
          <w:rFonts w:ascii="Times New Roman CYR" w:hAnsi="Times New Roman CYR" w:cs="Times New Roman CYR"/>
          <w:sz w:val="28"/>
          <w:szCs w:val="28"/>
          <w:u w:color="FF0000"/>
        </w:rPr>
        <w:t>а 2024 год составил 12 300 м3.</w:t>
      </w:r>
    </w:p>
    <w:p w:rsidR="00046B52" w:rsidRPr="00446D77" w:rsidRDefault="00046B52" w:rsidP="00046B52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u w:color="FF0000"/>
        </w:rPr>
      </w:pPr>
      <w:r w:rsidRPr="00446D77">
        <w:rPr>
          <w:rFonts w:ascii="Times New Roman CYR" w:hAnsi="Times New Roman CYR" w:cs="Times New Roman CYR"/>
          <w:u w:color="FF0000"/>
        </w:rPr>
        <w:t>Расшифровка показателя №40.4</w:t>
      </w:r>
    </w:p>
    <w:tbl>
      <w:tblPr>
        <w:tblW w:w="1017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582"/>
        <w:gridCol w:w="1204"/>
        <w:gridCol w:w="1135"/>
        <w:gridCol w:w="1133"/>
        <w:gridCol w:w="1277"/>
        <w:gridCol w:w="1842"/>
      </w:tblGrid>
      <w:tr w:rsidR="00046B52" w:rsidRPr="00446D77" w:rsidTr="00446D77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Значения показателя</w:t>
            </w:r>
          </w:p>
        </w:tc>
      </w:tr>
      <w:tr w:rsidR="00046B52" w:rsidRPr="00446D77" w:rsidTr="00BA0341">
        <w:trPr>
          <w:trHeight w:val="69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46B52" w:rsidRPr="00446D77" w:rsidTr="00BA0341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>40.4. Потребление холодной воды, куб. 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1,14</w:t>
            </w:r>
          </w:p>
        </w:tc>
      </w:tr>
      <w:tr w:rsidR="00046B52" w:rsidRPr="00446D77" w:rsidTr="00446D77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холодной воды муниципальными учреждениями, </w:t>
            </w:r>
            <w:proofErr w:type="spellStart"/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куб.м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446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446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446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446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446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</w:t>
            </w:r>
          </w:p>
        </w:tc>
      </w:tr>
      <w:tr w:rsidR="00046B52" w:rsidRPr="00446D77" w:rsidTr="00446D77">
        <w:trPr>
          <w:trHeight w:val="8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среднегодовая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11 489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11 283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11 103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10 960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2" w:rsidRPr="00446D77" w:rsidRDefault="0004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color w:val="000000"/>
                <w:u w:color="FF0000"/>
              </w:rPr>
              <w:t>10 828</w:t>
            </w:r>
          </w:p>
        </w:tc>
      </w:tr>
    </w:tbl>
    <w:p w:rsidR="00046B52" w:rsidRPr="003B778B" w:rsidRDefault="00083C0D" w:rsidP="003B77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u w:color="FF0000"/>
        </w:rPr>
        <w:t xml:space="preserve">        </w:t>
      </w:r>
      <w:r w:rsidR="00046B52"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районе отсутствует инфраструктура.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46B52" w:rsidRDefault="00046B52" w:rsidP="0085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X. Независимая оценка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46B52" w:rsidRPr="00083C0D" w:rsidRDefault="00046B52" w:rsidP="0008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850E2E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«</w:t>
      </w: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Интернет</w:t>
      </w:r>
      <w:r w:rsidRPr="00850E2E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») (</w:t>
      </w:r>
      <w:r w:rsidRPr="00850E2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при наличии)</w:t>
      </w:r>
    </w:p>
    <w:p w:rsidR="00850E2E" w:rsidRDefault="00046B52" w:rsidP="003B778B">
      <w:pPr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 2024 году средний балл по организациям дополнительного образования составил 84,57. Данная процедура проводится один раз в три года. Следующий </w:t>
      </w:r>
    </w:p>
    <w:p w:rsidR="00046B52" w:rsidRDefault="00046B52" w:rsidP="003B778B">
      <w:pPr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плановый период 2026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926"/>
        <w:gridCol w:w="3319"/>
      </w:tblGrid>
      <w:tr w:rsidR="00046B52" w:rsidTr="003B778B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446D77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№ п/п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446D77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446D77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Значение показателя оценки качества по организации</w:t>
            </w:r>
          </w:p>
        </w:tc>
      </w:tr>
      <w:tr w:rsidR="00046B52" w:rsidTr="003B778B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446D77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446D77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Центр внешкольной работы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446D77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86,97</w:t>
            </w:r>
          </w:p>
        </w:tc>
      </w:tr>
      <w:tr w:rsidR="00046B52" w:rsidTr="003B778B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446D77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2" w:rsidRPr="00446D77" w:rsidRDefault="00046B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Спортивная школа «Триумф»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B52" w:rsidRPr="00446D77" w:rsidRDefault="00046B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46D77">
              <w:rPr>
                <w:rFonts w:ascii="Times New Roman CYR" w:hAnsi="Times New Roman CYR" w:cs="Times New Roman CYR"/>
                <w:u w:color="FF0000"/>
              </w:rPr>
              <w:t>82,57</w:t>
            </w:r>
          </w:p>
        </w:tc>
      </w:tr>
    </w:tbl>
    <w:p w:rsidR="00046B52" w:rsidRDefault="003B778B" w:rsidP="00046B52">
      <w:pPr>
        <w:autoSpaceDE w:val="0"/>
        <w:autoSpaceDN w:val="0"/>
        <w:adjustRightInd w:val="0"/>
        <w:spacing w:line="252" w:lineRule="auto"/>
        <w:ind w:right="1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</w:t>
      </w:r>
      <w:r w:rsidR="00046B52">
        <w:rPr>
          <w:rFonts w:ascii="Times New Roman CYR" w:hAnsi="Times New Roman CYR" w:cs="Times New Roman CYR"/>
          <w:sz w:val="28"/>
          <w:szCs w:val="28"/>
          <w:u w:color="FF0000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</w:t>
      </w:r>
      <w:r w:rsidR="00046B52">
        <w:rPr>
          <w:rFonts w:ascii="Times New Roman CYR" w:hAnsi="Times New Roman CYR" w:cs="Times New Roman CYR"/>
          <w:sz w:val="28"/>
          <w:szCs w:val="28"/>
          <w:u w:color="FF0000"/>
        </w:rPr>
        <w:t xml:space="preserve"> В 2024 году организации культуры не проходили независимую оценку качества условий оказания услуг.</w:t>
      </w: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832C8" w:rsidRDefault="00D832C8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832C8" w:rsidRDefault="00D832C8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832C8" w:rsidRDefault="00D832C8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832C8" w:rsidRDefault="00D832C8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832C8" w:rsidRDefault="00D832C8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46B52" w:rsidRDefault="00046B52" w:rsidP="00046B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832C8" w:rsidRDefault="00D832C8" w:rsidP="00D832C8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района                                                                                             В.Н. Дергунов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C8" w:rsidRDefault="00D832C8" w:rsidP="00D832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832C8" w:rsidRDefault="00D832C8" w:rsidP="00D832C8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0568" w:rsidRDefault="00580568"/>
    <w:sectPr w:rsidR="00580568" w:rsidSect="00B4138D">
      <w:pgSz w:w="12240" w:h="15840"/>
      <w:pgMar w:top="851" w:right="75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05791"/>
    <w:multiLevelType w:val="singleLevel"/>
    <w:tmpl w:val="11EE5014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2"/>
    <w:rsid w:val="00046B52"/>
    <w:rsid w:val="00083C0D"/>
    <w:rsid w:val="000C6302"/>
    <w:rsid w:val="00144B5D"/>
    <w:rsid w:val="00203161"/>
    <w:rsid w:val="0020640B"/>
    <w:rsid w:val="00217655"/>
    <w:rsid w:val="0025789D"/>
    <w:rsid w:val="0032038F"/>
    <w:rsid w:val="003B778B"/>
    <w:rsid w:val="00415F29"/>
    <w:rsid w:val="00446D77"/>
    <w:rsid w:val="00580568"/>
    <w:rsid w:val="005A36C0"/>
    <w:rsid w:val="006B7FAF"/>
    <w:rsid w:val="0070092E"/>
    <w:rsid w:val="00850E2E"/>
    <w:rsid w:val="00907960"/>
    <w:rsid w:val="00A10292"/>
    <w:rsid w:val="00AC36DC"/>
    <w:rsid w:val="00AD49DB"/>
    <w:rsid w:val="00B4138D"/>
    <w:rsid w:val="00BA0341"/>
    <w:rsid w:val="00BC59C8"/>
    <w:rsid w:val="00D832C8"/>
    <w:rsid w:val="00DE4C3C"/>
    <w:rsid w:val="00DF08F5"/>
    <w:rsid w:val="00E240C6"/>
    <w:rsid w:val="00E77B1B"/>
    <w:rsid w:val="00EE394B"/>
    <w:rsid w:val="00F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62DE"/>
  <w15:chartTrackingRefBased/>
  <w15:docId w15:val="{FE10172D-0FA4-441A-A98E-6820C651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3;&#1072;&#1090;&#1072;&#1083;&#1100;&#1103;\www.adm-dzerg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0902-7120-4F1F-926B-28572D92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27</Pages>
  <Words>9369</Words>
  <Characters>53404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2025-04-28T07:04:00Z</cp:lastPrinted>
  <dcterms:created xsi:type="dcterms:W3CDTF">2025-04-24T07:51:00Z</dcterms:created>
  <dcterms:modified xsi:type="dcterms:W3CDTF">2025-04-28T08:21:00Z</dcterms:modified>
</cp:coreProperties>
</file>